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65C19">
      <w:pPr>
        <w:spacing w:line="240" w:lineRule="auto"/>
        <w:ind w:left="567" w:right="-426" w:firstLine="567"/>
        <w:jc w:val="center"/>
        <w:rPr>
          <w:b/>
          <w:sz w:val="21"/>
          <w:szCs w:val="21"/>
        </w:rPr>
      </w:pPr>
      <w:bookmarkStart w:id="0" w:name="_Hlk222384712"/>
      <w:r>
        <w:rPr>
          <w:b/>
          <w:sz w:val="21"/>
          <w:szCs w:val="21"/>
        </w:rPr>
        <w:t>ДОГОВОР</w:t>
      </w:r>
    </w:p>
    <w:p w14:paraId="3007D4D2">
      <w:pPr>
        <w:spacing w:line="240" w:lineRule="auto"/>
        <w:ind w:left="567" w:right="-426" w:firstLine="567"/>
        <w:jc w:val="center"/>
        <w:rPr>
          <w:b/>
          <w:color w:val="000000" w:themeColor="text1"/>
          <w:sz w:val="21"/>
          <w:szCs w:val="21"/>
          <w14:textFill>
            <w14:solidFill>
              <w14:schemeClr w14:val="tx1"/>
            </w14:solidFill>
          </w14:textFill>
        </w:rPr>
      </w:pPr>
      <w:bookmarkStart w:id="1" w:name="_Hlk222308038"/>
      <w:r>
        <w:rPr>
          <w:b/>
          <w:sz w:val="21"/>
          <w:szCs w:val="21"/>
        </w:rPr>
        <w:t xml:space="preserve">участия в долевом строительстве </w:t>
      </w:r>
      <w:bookmarkEnd w:id="0"/>
      <w:bookmarkEnd w:id="1"/>
      <w:r>
        <w:rPr>
          <w:b/>
          <w:sz w:val="21"/>
          <w:szCs w:val="21"/>
        </w:rPr>
        <w:t>№ 2/___</w:t>
      </w:r>
    </w:p>
    <w:p w14:paraId="377C366F">
      <w:pPr>
        <w:spacing w:line="240" w:lineRule="auto"/>
        <w:ind w:left="567" w:right="-426" w:firstLine="567"/>
        <w:jc w:val="center"/>
        <w:rPr>
          <w:color w:val="000000" w:themeColor="text1"/>
          <w:sz w:val="21"/>
          <w:szCs w:val="21"/>
          <w14:textFill>
            <w14:solidFill>
              <w14:schemeClr w14:val="tx1"/>
            </w14:solidFill>
          </w14:textFill>
        </w:rPr>
      </w:pP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1"/>
        <w:gridCol w:w="5211"/>
      </w:tblGrid>
      <w:tr w14:paraId="7CDA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1" w:type="dxa"/>
          </w:tcPr>
          <w:p w14:paraId="53EC2619">
            <w:pPr>
              <w:spacing w:before="140" w:line="240" w:lineRule="auto"/>
              <w:ind w:right="-143" w:firstLine="0"/>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город Набережные Челны</w:t>
            </w:r>
          </w:p>
        </w:tc>
        <w:tc>
          <w:tcPr>
            <w:tcW w:w="5211" w:type="dxa"/>
          </w:tcPr>
          <w:p w14:paraId="257E644D">
            <w:pPr>
              <w:spacing w:before="140" w:line="240" w:lineRule="auto"/>
              <w:ind w:right="-143" w:firstLine="0"/>
              <w:jc w:val="right"/>
              <w:rPr>
                <w:color w:val="000000" w:themeColor="text1"/>
                <w:sz w:val="21"/>
                <w:szCs w:val="21"/>
                <w14:textFill>
                  <w14:solidFill>
                    <w14:schemeClr w14:val="tx1"/>
                  </w14:solidFill>
                </w14:textFill>
              </w:rPr>
            </w:pPr>
            <w:r>
              <w:rPr>
                <w:color w:val="auto"/>
                <w:sz w:val="21"/>
                <w:szCs w:val="21"/>
              </w:rPr>
              <w:t xml:space="preserve">________2026 </w:t>
            </w:r>
            <w:r>
              <w:rPr>
                <w:color w:val="000000" w:themeColor="text1"/>
                <w:sz w:val="21"/>
                <w:szCs w:val="21"/>
                <w14:textFill>
                  <w14:solidFill>
                    <w14:schemeClr w14:val="tx1"/>
                  </w14:solidFill>
                </w14:textFill>
              </w:rPr>
              <w:t>г..</w:t>
            </w:r>
          </w:p>
        </w:tc>
      </w:tr>
    </w:tbl>
    <w:p w14:paraId="6DEB9F62">
      <w:pPr>
        <w:spacing w:before="140" w:line="240" w:lineRule="auto"/>
        <w:ind w:right="-143" w:firstLine="0"/>
        <w:rPr>
          <w:color w:val="000000" w:themeColor="text1"/>
          <w:sz w:val="21"/>
          <w:szCs w:val="21"/>
          <w14:textFill>
            <w14:solidFill>
              <w14:schemeClr w14:val="tx1"/>
            </w14:solidFill>
          </w14:textFill>
        </w:rPr>
      </w:pPr>
    </w:p>
    <w:p w14:paraId="4E5E140C">
      <w:pPr>
        <w:tabs>
          <w:tab w:val="left" w:pos="142"/>
        </w:tabs>
        <w:autoSpaceDE w:val="0"/>
        <w:autoSpaceDN w:val="0"/>
        <w:adjustRightInd w:val="0"/>
        <w:spacing w:line="240" w:lineRule="auto"/>
        <w:ind w:right="-143" w:firstLine="567"/>
        <w:jc w:val="both"/>
        <w:rPr>
          <w:color w:val="000000"/>
          <w:sz w:val="22"/>
          <w:szCs w:val="22"/>
          <w:lang w:eastAsia="ru-RU"/>
        </w:rPr>
      </w:pPr>
      <w:r>
        <w:rPr>
          <w:b/>
          <w:sz w:val="22"/>
          <w:szCs w:val="22"/>
        </w:rPr>
        <w:t>Общество с ограниченной ответственностью Специализированный Застройщик «Челны-Град НЧ»</w:t>
      </w:r>
      <w:r>
        <w:rPr>
          <w:sz w:val="22"/>
          <w:szCs w:val="22"/>
        </w:rPr>
        <w:t xml:space="preserve">, идентификационный номер налогоплательщика (ИНН юридического лица): 1650424425, основной государственный регистрационный номер (ОГРН): 1231600026448, дата государственной регистрации: 18 мая 2023 года, наименование регистрирующего органа: МРИ ФНС № 18 по Республики Татарстан, код причины постановки на учет (КПП): 165001001, адрес юридического лица: 423832, Республика Татарстан, г. Набережные Челны, ул. Раскольникова, д. 65а, помещ. 9, именуемое в дальнейшем </w:t>
      </w:r>
      <w:r>
        <w:rPr>
          <w:b/>
          <w:sz w:val="22"/>
          <w:szCs w:val="22"/>
        </w:rPr>
        <w:t>ЗАСТРОЙЩИК</w:t>
      </w:r>
      <w:r>
        <w:rPr>
          <w:sz w:val="22"/>
          <w:szCs w:val="22"/>
        </w:rPr>
        <w:t xml:space="preserve">, </w:t>
      </w:r>
      <w:r>
        <w:rPr>
          <w:b/>
          <w:bCs/>
          <w:sz w:val="22"/>
          <w:szCs w:val="22"/>
        </w:rPr>
        <w:t>в лице</w:t>
      </w:r>
      <w:r>
        <w:rPr>
          <w:sz w:val="22"/>
          <w:szCs w:val="22"/>
        </w:rPr>
        <w:t xml:space="preserve"> </w:t>
      </w:r>
      <w:r>
        <w:rPr>
          <w:b/>
          <w:bCs/>
          <w:sz w:val="22"/>
          <w:szCs w:val="22"/>
        </w:rPr>
        <w:t>директора</w:t>
      </w:r>
      <w:r>
        <w:rPr>
          <w:sz w:val="22"/>
          <w:szCs w:val="22"/>
        </w:rPr>
        <w:t xml:space="preserve"> </w:t>
      </w:r>
      <w:r>
        <w:rPr>
          <w:b/>
          <w:bCs/>
          <w:sz w:val="22"/>
          <w:szCs w:val="22"/>
        </w:rPr>
        <w:t>Хуснутдинова Рената Рауфовича</w:t>
      </w:r>
      <w:r>
        <w:rPr>
          <w:sz w:val="22"/>
          <w:szCs w:val="22"/>
        </w:rPr>
        <w:t xml:space="preserve">, действующего на основании Устава, </w:t>
      </w:r>
      <w:r>
        <w:rPr>
          <w:color w:val="000000"/>
          <w:sz w:val="22"/>
          <w:szCs w:val="22"/>
          <w:lang w:eastAsia="ru-RU"/>
        </w:rPr>
        <w:t xml:space="preserve">с одной стороны, и  </w:t>
      </w:r>
    </w:p>
    <w:p w14:paraId="05B5B6C1">
      <w:pPr>
        <w:tabs>
          <w:tab w:val="left" w:pos="142"/>
        </w:tabs>
        <w:spacing w:line="240" w:lineRule="auto"/>
        <w:ind w:right="-143" w:firstLine="567"/>
        <w:jc w:val="both"/>
        <w:rPr>
          <w:sz w:val="22"/>
          <w:szCs w:val="22"/>
        </w:rPr>
      </w:pPr>
      <w:r>
        <w:rPr>
          <w:b/>
          <w:sz w:val="22"/>
          <w:szCs w:val="22"/>
          <w:lang w:eastAsia="ru-RU"/>
        </w:rPr>
        <w:t>______________________________</w:t>
      </w:r>
      <w:r>
        <w:rPr>
          <w:b/>
          <w:color w:val="000000" w:themeColor="text1"/>
          <w:sz w:val="22"/>
          <w:szCs w:val="22"/>
          <w14:textFill>
            <w14:solidFill>
              <w14:schemeClr w14:val="tx1"/>
            </w14:solidFill>
          </w14:textFill>
        </w:rPr>
        <w:t xml:space="preserve">, </w:t>
      </w:r>
      <w:r>
        <w:rPr>
          <w:bCs/>
          <w:color w:val="000000" w:themeColor="text1"/>
          <w:sz w:val="22"/>
          <w:szCs w:val="22"/>
          <w14:textFill>
            <w14:solidFill>
              <w14:schemeClr w14:val="tx1"/>
            </w14:solidFill>
          </w14:textFill>
        </w:rPr>
        <w:t xml:space="preserve">дата рождения: _____________г., место рождения:__________________, паспорт гражданина РФ: серия__________№___________, выдан:_________________, код подразделения:______________, адрес регистрации:______________________, </w:t>
      </w:r>
      <w:r>
        <w:rPr>
          <w:sz w:val="22"/>
          <w:szCs w:val="22"/>
          <w:lang w:eastAsia="ru-RU"/>
        </w:rPr>
        <w:t xml:space="preserve">именуемый в дальнейшем </w:t>
      </w:r>
      <w:r>
        <w:rPr>
          <w:b/>
          <w:bCs/>
          <w:sz w:val="22"/>
          <w:szCs w:val="22"/>
        </w:rPr>
        <w:t>ДОЛЬЩИК</w:t>
      </w:r>
      <w:r>
        <w:rPr>
          <w:sz w:val="22"/>
          <w:szCs w:val="22"/>
        </w:rPr>
        <w:t xml:space="preserve">, с другой стороны, совместно именуемые </w:t>
      </w:r>
      <w:r>
        <w:rPr>
          <w:b/>
          <w:sz w:val="22"/>
          <w:szCs w:val="22"/>
        </w:rPr>
        <w:t>СТОРОНЫ,</w:t>
      </w:r>
      <w:r>
        <w:rPr>
          <w:sz w:val="22"/>
          <w:szCs w:val="22"/>
        </w:rPr>
        <w:t xml:space="preserve"> заключили настоящий Договор о нижеследующем:</w:t>
      </w:r>
    </w:p>
    <w:p w14:paraId="6E970061">
      <w:pPr>
        <w:spacing w:line="240" w:lineRule="auto"/>
        <w:ind w:right="-143" w:firstLine="567"/>
        <w:jc w:val="both"/>
        <w:rPr>
          <w:sz w:val="21"/>
          <w:szCs w:val="21"/>
        </w:rPr>
      </w:pPr>
    </w:p>
    <w:p w14:paraId="59287C96">
      <w:pPr>
        <w:spacing w:line="240" w:lineRule="auto"/>
        <w:ind w:right="-143" w:firstLine="567"/>
        <w:jc w:val="center"/>
        <w:rPr>
          <w:b/>
          <w:sz w:val="21"/>
          <w:szCs w:val="21"/>
        </w:rPr>
      </w:pPr>
      <w:r>
        <w:rPr>
          <w:b/>
          <w:sz w:val="21"/>
          <w:szCs w:val="21"/>
        </w:rPr>
        <w:t>1. ТЕРМИНЫ И ТОЛКОВАНИЯ</w:t>
      </w:r>
    </w:p>
    <w:p w14:paraId="55455B19">
      <w:pPr>
        <w:spacing w:line="240" w:lineRule="auto"/>
        <w:ind w:right="-143" w:firstLine="567"/>
        <w:jc w:val="center"/>
        <w:rPr>
          <w:b/>
          <w:sz w:val="21"/>
          <w:szCs w:val="21"/>
        </w:rPr>
      </w:pPr>
    </w:p>
    <w:p w14:paraId="5F7205EE">
      <w:pPr>
        <w:widowControl/>
        <w:suppressAutoHyphens w:val="0"/>
        <w:spacing w:line="240" w:lineRule="auto"/>
        <w:ind w:left="567" w:firstLine="0"/>
        <w:jc w:val="both"/>
        <w:rPr>
          <w:iCs/>
          <w:color w:val="000000"/>
          <w:sz w:val="21"/>
          <w:szCs w:val="21"/>
          <w:lang w:eastAsia="ru-RU"/>
        </w:rPr>
      </w:pPr>
      <w:r>
        <w:rPr>
          <w:iCs/>
          <w:color w:val="000000"/>
          <w:sz w:val="21"/>
          <w:szCs w:val="21"/>
          <w:lang w:eastAsia="ru-RU"/>
        </w:rPr>
        <w:t>Для целей настоящего Договора применяются следующие термины:</w:t>
      </w:r>
    </w:p>
    <w:p w14:paraId="3F626F55">
      <w:pPr>
        <w:widowControl/>
        <w:suppressAutoHyphens w:val="0"/>
        <w:spacing w:line="240" w:lineRule="auto"/>
        <w:ind w:firstLine="567"/>
        <w:jc w:val="both"/>
        <w:rPr>
          <w:b/>
          <w:iCs/>
          <w:color w:val="000000"/>
          <w:sz w:val="21"/>
          <w:szCs w:val="21"/>
          <w:lang w:eastAsia="ru-RU"/>
        </w:rPr>
      </w:pPr>
      <w:r>
        <w:rPr>
          <w:iCs/>
          <w:color w:val="000000"/>
          <w:sz w:val="21"/>
          <w:szCs w:val="21"/>
          <w:lang w:eastAsia="ru-RU"/>
        </w:rPr>
        <w:t>1.1.</w:t>
      </w:r>
      <w:r>
        <w:rPr>
          <w:b/>
          <w:bCs/>
          <w:iCs/>
          <w:color w:val="000000"/>
          <w:sz w:val="21"/>
          <w:szCs w:val="21"/>
          <w:lang w:eastAsia="ru-RU"/>
        </w:rPr>
        <w:t xml:space="preserve"> Объект недвижимости</w:t>
      </w:r>
      <w:r>
        <w:rPr>
          <w:iCs/>
          <w:color w:val="000000"/>
          <w:sz w:val="21"/>
          <w:szCs w:val="21"/>
          <w:lang w:eastAsia="ru-RU"/>
        </w:rPr>
        <w:t xml:space="preserve"> – многоквартирный жилой дом, строящийся с привлечением денежных средств УЧАСТНИКА</w:t>
      </w:r>
      <w:r>
        <w:rPr>
          <w:b/>
          <w:iCs/>
          <w:color w:val="000000"/>
          <w:sz w:val="21"/>
          <w:szCs w:val="21"/>
          <w:lang w:eastAsia="ru-RU"/>
        </w:rPr>
        <w:t xml:space="preserve"> </w:t>
      </w:r>
      <w:r>
        <w:rPr>
          <w:bCs/>
          <w:iCs/>
          <w:color w:val="000000"/>
          <w:sz w:val="21"/>
          <w:szCs w:val="21"/>
          <w:lang w:eastAsia="ru-RU"/>
        </w:rPr>
        <w:t xml:space="preserve">на земельном участке с кадастровым номером </w:t>
      </w:r>
      <w:bookmarkStart w:id="2" w:name="_Hlk217900396"/>
      <w:r>
        <w:rPr>
          <w:bCs/>
          <w:iCs/>
          <w:color w:val="000000"/>
          <w:sz w:val="21"/>
          <w:szCs w:val="21"/>
          <w:lang w:eastAsia="ru-RU"/>
        </w:rPr>
        <w:t>16:52:060201:1633</w:t>
      </w:r>
      <w:bookmarkEnd w:id="2"/>
      <w:r>
        <w:rPr>
          <w:bCs/>
          <w:iCs/>
          <w:color w:val="000000"/>
          <w:sz w:val="21"/>
          <w:szCs w:val="21"/>
          <w:lang w:eastAsia="ru-RU"/>
        </w:rPr>
        <w:t xml:space="preserve">, категории земель: земли населенных пунктов, разрешенное использование: среднеэтажная жилая застройка, общей площадью 13000 кв.м., расположенном по адресу: Республика Татарстан, г. Набережные Челны, 61 комплекс, проспект Чулман, земельный участок 115, объект недвижимости: </w:t>
      </w:r>
      <w:bookmarkStart w:id="3" w:name="_Hlk217900860"/>
      <w:r>
        <w:rPr>
          <w:bCs/>
          <w:iCs/>
          <w:color w:val="000000"/>
          <w:sz w:val="21"/>
          <w:szCs w:val="21"/>
          <w:lang w:eastAsia="ru-RU"/>
        </w:rPr>
        <w:t>6-ти этажные жилые дома со встроенными нежилыми помещениями в г. Набережные Челны, 61 комплекс, Проспект Чулман,</w:t>
      </w:r>
      <w:bookmarkEnd w:id="3"/>
      <w:r>
        <w:rPr>
          <w:bCs/>
          <w:iCs/>
          <w:color w:val="000000"/>
          <w:sz w:val="21"/>
          <w:szCs w:val="21"/>
          <w:lang w:eastAsia="ru-RU"/>
        </w:rPr>
        <w:t xml:space="preserve"> </w:t>
      </w:r>
      <w:r>
        <w:rPr>
          <w:bCs/>
          <w:iCs/>
          <w:color w:val="auto"/>
          <w:sz w:val="21"/>
          <w:szCs w:val="21"/>
          <w:lang w:eastAsia="ru-RU"/>
        </w:rPr>
        <w:t xml:space="preserve">Дом № 2 </w:t>
      </w:r>
      <w:r>
        <w:rPr>
          <w:bCs/>
          <w:iCs/>
          <w:color w:val="000000"/>
          <w:sz w:val="21"/>
          <w:szCs w:val="21"/>
          <w:lang w:eastAsia="ru-RU"/>
        </w:rPr>
        <w:t>(далее – «Многоквартирный дом»), имеющий следующие основные характеристики:</w:t>
      </w:r>
    </w:p>
    <w:tbl>
      <w:tblPr>
        <w:tblStyle w:val="3"/>
        <w:tblW w:w="9214" w:type="dxa"/>
        <w:tblInd w:w="250" w:type="dxa"/>
        <w:tblLayout w:type="autofit"/>
        <w:tblCellMar>
          <w:top w:w="0" w:type="dxa"/>
          <w:left w:w="0" w:type="dxa"/>
          <w:bottom w:w="0" w:type="dxa"/>
          <w:right w:w="0" w:type="dxa"/>
        </w:tblCellMar>
      </w:tblPr>
      <w:tblGrid>
        <w:gridCol w:w="5245"/>
        <w:gridCol w:w="3969"/>
      </w:tblGrid>
      <w:tr w14:paraId="66A20627">
        <w:tblPrEx>
          <w:tblCellMar>
            <w:top w:w="0" w:type="dxa"/>
            <w:left w:w="0" w:type="dxa"/>
            <w:bottom w:w="0" w:type="dxa"/>
            <w:right w:w="0" w:type="dxa"/>
          </w:tblCellMar>
        </w:tblPrEx>
        <w:trPr>
          <w:trHeight w:val="78" w:hRule="atLeast"/>
        </w:trPr>
        <w:tc>
          <w:tcPr>
            <w:tcW w:w="524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5845DA9">
            <w:pPr>
              <w:ind w:right="-143" w:firstLine="0"/>
              <w:rPr>
                <w:rFonts w:eastAsia="Calibri"/>
                <w:b/>
                <w:bCs/>
                <w:sz w:val="21"/>
                <w:szCs w:val="21"/>
                <w:lang w:eastAsia="en-US"/>
              </w:rPr>
            </w:pPr>
            <w:r>
              <w:rPr>
                <w:rFonts w:eastAsia="Calibri"/>
                <w:b/>
                <w:bCs/>
                <w:color w:val="000000"/>
                <w:sz w:val="21"/>
                <w:szCs w:val="21"/>
                <w:lang w:eastAsia="en-US"/>
              </w:rPr>
              <w:t>Вид строящегося (создаваемого) объекта недвижимости)</w:t>
            </w:r>
          </w:p>
        </w:tc>
        <w:tc>
          <w:tcPr>
            <w:tcW w:w="3969"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520A0D03">
            <w:pPr>
              <w:ind w:right="-143" w:firstLine="0"/>
              <w:rPr>
                <w:rFonts w:eastAsia="Calibri"/>
                <w:sz w:val="21"/>
                <w:szCs w:val="21"/>
                <w:lang w:val="en-US" w:eastAsia="en-US"/>
              </w:rPr>
            </w:pPr>
            <w:r>
              <w:rPr>
                <w:rFonts w:eastAsia="Calibri"/>
                <w:sz w:val="21"/>
                <w:szCs w:val="21"/>
                <w:lang w:eastAsia="en-US"/>
              </w:rPr>
              <w:t xml:space="preserve">Многоквартирный дом </w:t>
            </w:r>
          </w:p>
        </w:tc>
      </w:tr>
      <w:tr w14:paraId="010839DC">
        <w:tblPrEx>
          <w:tblCellMar>
            <w:top w:w="0" w:type="dxa"/>
            <w:left w:w="0" w:type="dxa"/>
            <w:bottom w:w="0" w:type="dxa"/>
            <w:right w:w="0" w:type="dxa"/>
          </w:tblCellMar>
        </w:tblPrEx>
        <w:trPr>
          <w:trHeight w:val="39"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0D2ECBE">
            <w:pPr>
              <w:ind w:right="-143" w:firstLine="0"/>
              <w:rPr>
                <w:rFonts w:eastAsia="Calibri"/>
                <w:b/>
                <w:bCs/>
                <w:sz w:val="21"/>
                <w:szCs w:val="21"/>
                <w:lang w:eastAsia="en-US"/>
              </w:rPr>
            </w:pPr>
            <w:r>
              <w:rPr>
                <w:rFonts w:eastAsia="Calibri"/>
                <w:b/>
                <w:bCs/>
                <w:sz w:val="21"/>
                <w:szCs w:val="21"/>
                <w:lang w:eastAsia="en-US"/>
              </w:rPr>
              <w:t>Назначение объекта</w:t>
            </w:r>
          </w:p>
        </w:tc>
        <w:tc>
          <w:tcPr>
            <w:tcW w:w="3969" w:type="dxa"/>
            <w:tcBorders>
              <w:top w:val="nil"/>
              <w:left w:val="nil"/>
              <w:bottom w:val="single" w:color="auto" w:sz="8" w:space="0"/>
              <w:right w:val="single" w:color="auto" w:sz="8" w:space="0"/>
            </w:tcBorders>
            <w:tcMar>
              <w:top w:w="0" w:type="dxa"/>
              <w:left w:w="108" w:type="dxa"/>
              <w:bottom w:w="0" w:type="dxa"/>
              <w:right w:w="108" w:type="dxa"/>
            </w:tcMar>
          </w:tcPr>
          <w:p w14:paraId="66D12869">
            <w:pPr>
              <w:ind w:right="-143" w:firstLine="0"/>
              <w:rPr>
                <w:rFonts w:eastAsia="Calibri"/>
                <w:sz w:val="21"/>
                <w:szCs w:val="21"/>
                <w:lang w:eastAsia="en-US"/>
              </w:rPr>
            </w:pPr>
            <w:r>
              <w:rPr>
                <w:rFonts w:eastAsia="Calibri"/>
                <w:sz w:val="21"/>
                <w:szCs w:val="21"/>
                <w:lang w:eastAsia="en-US"/>
              </w:rPr>
              <w:t>Жилое</w:t>
            </w:r>
          </w:p>
        </w:tc>
      </w:tr>
      <w:tr w14:paraId="045B4875">
        <w:tblPrEx>
          <w:tblCellMar>
            <w:top w:w="0" w:type="dxa"/>
            <w:left w:w="0" w:type="dxa"/>
            <w:bottom w:w="0" w:type="dxa"/>
            <w:right w:w="0" w:type="dxa"/>
          </w:tblCellMar>
        </w:tblPrEx>
        <w:trPr>
          <w:trHeight w:val="39"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3A06E1C">
            <w:pPr>
              <w:ind w:right="-143" w:firstLine="0"/>
              <w:rPr>
                <w:rFonts w:eastAsia="Calibri"/>
                <w:b/>
                <w:bCs/>
                <w:color w:val="000000" w:themeColor="text1"/>
                <w:sz w:val="21"/>
                <w:szCs w:val="21"/>
                <w:lang w:eastAsia="en-US"/>
                <w14:textFill>
                  <w14:solidFill>
                    <w14:schemeClr w14:val="tx1"/>
                  </w14:solidFill>
                </w14:textFill>
              </w:rPr>
            </w:pPr>
            <w:r>
              <w:rPr>
                <w:rFonts w:eastAsia="Calibri"/>
                <w:b/>
                <w:bCs/>
                <w:color w:val="000000" w:themeColor="text1"/>
                <w:sz w:val="21"/>
                <w:szCs w:val="21"/>
                <w:lang w:eastAsia="en-US"/>
                <w14:textFill>
                  <w14:solidFill>
                    <w14:schemeClr w14:val="tx1"/>
                  </w14:solidFill>
                </w14:textFill>
              </w:rPr>
              <w:t>Общая площадь дома</w:t>
            </w:r>
          </w:p>
        </w:tc>
        <w:tc>
          <w:tcPr>
            <w:tcW w:w="3969" w:type="dxa"/>
            <w:tcBorders>
              <w:top w:val="nil"/>
              <w:left w:val="nil"/>
              <w:bottom w:val="single" w:color="auto" w:sz="8" w:space="0"/>
              <w:right w:val="single" w:color="auto" w:sz="8" w:space="0"/>
            </w:tcBorders>
            <w:tcMar>
              <w:top w:w="0" w:type="dxa"/>
              <w:left w:w="108" w:type="dxa"/>
              <w:bottom w:w="0" w:type="dxa"/>
              <w:right w:w="108" w:type="dxa"/>
            </w:tcMar>
          </w:tcPr>
          <w:p w14:paraId="2CAD0310">
            <w:pPr>
              <w:ind w:right="-143" w:firstLine="0"/>
              <w:rPr>
                <w:rFonts w:eastAsia="Calibri"/>
                <w:color w:val="000000" w:themeColor="text1"/>
                <w:sz w:val="21"/>
                <w:szCs w:val="21"/>
                <w:lang w:eastAsia="en-US"/>
                <w14:textFill>
                  <w14:solidFill>
                    <w14:schemeClr w14:val="tx1"/>
                  </w14:solidFill>
                </w14:textFill>
              </w:rPr>
            </w:pPr>
          </w:p>
        </w:tc>
      </w:tr>
      <w:tr w14:paraId="56500666">
        <w:tblPrEx>
          <w:tblCellMar>
            <w:top w:w="0" w:type="dxa"/>
            <w:left w:w="0" w:type="dxa"/>
            <w:bottom w:w="0" w:type="dxa"/>
            <w:right w:w="0" w:type="dxa"/>
          </w:tblCellMar>
        </w:tblPrEx>
        <w:trPr>
          <w:trHeight w:val="42"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CF75ED9">
            <w:pPr>
              <w:ind w:right="-143" w:firstLine="0"/>
              <w:rPr>
                <w:rFonts w:eastAsia="Calibri"/>
                <w:b/>
                <w:bCs/>
                <w:color w:val="000000" w:themeColor="text1"/>
                <w:sz w:val="21"/>
                <w:szCs w:val="21"/>
                <w:lang w:eastAsia="en-US"/>
                <w14:textFill>
                  <w14:solidFill>
                    <w14:schemeClr w14:val="tx1"/>
                  </w14:solidFill>
                </w14:textFill>
              </w:rPr>
            </w:pPr>
            <w:r>
              <w:rPr>
                <w:rFonts w:eastAsia="Calibri"/>
                <w:b/>
                <w:bCs/>
                <w:color w:val="000000" w:themeColor="text1"/>
                <w:sz w:val="21"/>
                <w:szCs w:val="21"/>
                <w:lang w:eastAsia="en-US"/>
                <w14:textFill>
                  <w14:solidFill>
                    <w14:schemeClr w14:val="tx1"/>
                  </w14:solidFill>
                </w14:textFill>
              </w:rPr>
              <w:t xml:space="preserve">Количество этажей </w:t>
            </w:r>
          </w:p>
        </w:tc>
        <w:tc>
          <w:tcPr>
            <w:tcW w:w="3969" w:type="dxa"/>
            <w:tcBorders>
              <w:top w:val="nil"/>
              <w:left w:val="nil"/>
              <w:bottom w:val="single" w:color="auto" w:sz="8" w:space="0"/>
              <w:right w:val="single" w:color="auto" w:sz="8" w:space="0"/>
            </w:tcBorders>
            <w:tcMar>
              <w:top w:w="0" w:type="dxa"/>
              <w:left w:w="108" w:type="dxa"/>
              <w:bottom w:w="0" w:type="dxa"/>
              <w:right w:w="108" w:type="dxa"/>
            </w:tcMar>
          </w:tcPr>
          <w:p w14:paraId="78FE7EB6">
            <w:pPr>
              <w:ind w:right="-143" w:firstLine="0"/>
              <w:rPr>
                <w:rFonts w:eastAsia="Calibri"/>
                <w:color w:val="000000" w:themeColor="text1"/>
                <w:sz w:val="21"/>
                <w:szCs w:val="21"/>
                <w:lang w:eastAsia="en-US"/>
                <w14:textFill>
                  <w14:solidFill>
                    <w14:schemeClr w14:val="tx1"/>
                  </w14:solidFill>
                </w14:textFill>
              </w:rPr>
            </w:pPr>
          </w:p>
        </w:tc>
      </w:tr>
      <w:tr w14:paraId="0A66C930">
        <w:tblPrEx>
          <w:tblCellMar>
            <w:top w:w="0" w:type="dxa"/>
            <w:left w:w="0" w:type="dxa"/>
            <w:bottom w:w="0" w:type="dxa"/>
            <w:right w:w="0" w:type="dxa"/>
          </w:tblCellMar>
        </w:tblPrEx>
        <w:trPr>
          <w:trHeight w:val="78"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71261AD">
            <w:pPr>
              <w:ind w:right="-143" w:firstLine="0"/>
              <w:rPr>
                <w:rFonts w:eastAsia="Calibri"/>
                <w:b/>
                <w:bCs/>
                <w:color w:val="000000" w:themeColor="text1"/>
                <w:sz w:val="21"/>
                <w:szCs w:val="21"/>
                <w:lang w:eastAsia="en-US"/>
                <w14:textFill>
                  <w14:solidFill>
                    <w14:schemeClr w14:val="tx1"/>
                  </w14:solidFill>
                </w14:textFill>
              </w:rPr>
            </w:pPr>
            <w:r>
              <w:rPr>
                <w:rFonts w:eastAsia="Calibri"/>
                <w:b/>
                <w:bCs/>
                <w:color w:val="000000" w:themeColor="text1"/>
                <w:sz w:val="21"/>
                <w:szCs w:val="21"/>
                <w:lang w:eastAsia="en-US"/>
                <w14:textFill>
                  <w14:solidFill>
                    <w14:schemeClr w14:val="tx1"/>
                  </w14:solidFill>
                </w14:textFill>
              </w:rPr>
              <w:t>Общая площадь квартир жилая по СНИП</w:t>
            </w:r>
          </w:p>
        </w:tc>
        <w:tc>
          <w:tcPr>
            <w:tcW w:w="3969" w:type="dxa"/>
            <w:tcBorders>
              <w:top w:val="nil"/>
              <w:left w:val="nil"/>
              <w:bottom w:val="single" w:color="auto" w:sz="8" w:space="0"/>
              <w:right w:val="single" w:color="auto" w:sz="8" w:space="0"/>
            </w:tcBorders>
            <w:tcMar>
              <w:top w:w="0" w:type="dxa"/>
              <w:left w:w="108" w:type="dxa"/>
              <w:bottom w:w="0" w:type="dxa"/>
              <w:right w:w="108" w:type="dxa"/>
            </w:tcMar>
          </w:tcPr>
          <w:p w14:paraId="773A15E4">
            <w:pPr>
              <w:ind w:right="-143" w:firstLine="0"/>
              <w:rPr>
                <w:rFonts w:eastAsia="Calibri"/>
                <w:bCs/>
                <w:color w:val="000000" w:themeColor="text1"/>
                <w:sz w:val="21"/>
                <w:szCs w:val="21"/>
                <w:lang w:eastAsia="en-US"/>
                <w14:textFill>
                  <w14:solidFill>
                    <w14:schemeClr w14:val="tx1"/>
                  </w14:solidFill>
                </w14:textFill>
              </w:rPr>
            </w:pPr>
          </w:p>
        </w:tc>
      </w:tr>
      <w:tr w14:paraId="551FF9F1">
        <w:tblPrEx>
          <w:tblCellMar>
            <w:top w:w="0" w:type="dxa"/>
            <w:left w:w="0" w:type="dxa"/>
            <w:bottom w:w="0" w:type="dxa"/>
            <w:right w:w="0" w:type="dxa"/>
          </w:tblCellMar>
        </w:tblPrEx>
        <w:trPr>
          <w:trHeight w:val="78"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440E592">
            <w:pPr>
              <w:ind w:right="-143" w:firstLine="0"/>
              <w:rPr>
                <w:rFonts w:eastAsia="Calibri"/>
                <w:b/>
                <w:bCs/>
                <w:color w:val="000000" w:themeColor="text1"/>
                <w:sz w:val="21"/>
                <w:szCs w:val="21"/>
                <w:lang w:eastAsia="en-US"/>
                <w14:textFill>
                  <w14:solidFill>
                    <w14:schemeClr w14:val="tx1"/>
                  </w14:solidFill>
                </w14:textFill>
              </w:rPr>
            </w:pPr>
            <w:r>
              <w:rPr>
                <w:rFonts w:eastAsia="Calibri"/>
                <w:b/>
                <w:bCs/>
                <w:color w:val="000000" w:themeColor="text1"/>
                <w:sz w:val="21"/>
                <w:szCs w:val="21"/>
                <w:lang w:eastAsia="en-US"/>
                <w14:textFill>
                  <w14:solidFill>
                    <w14:schemeClr w14:val="tx1"/>
                  </w14:solidFill>
                </w14:textFill>
              </w:rPr>
              <w:t>Количество квартир</w:t>
            </w:r>
          </w:p>
        </w:tc>
        <w:tc>
          <w:tcPr>
            <w:tcW w:w="3969" w:type="dxa"/>
            <w:tcBorders>
              <w:top w:val="nil"/>
              <w:left w:val="nil"/>
              <w:bottom w:val="single" w:color="auto" w:sz="8" w:space="0"/>
              <w:right w:val="single" w:color="auto" w:sz="8" w:space="0"/>
            </w:tcBorders>
            <w:tcMar>
              <w:top w:w="0" w:type="dxa"/>
              <w:left w:w="108" w:type="dxa"/>
              <w:bottom w:w="0" w:type="dxa"/>
              <w:right w:w="108" w:type="dxa"/>
            </w:tcMar>
          </w:tcPr>
          <w:p w14:paraId="68B3CF2E">
            <w:pPr>
              <w:ind w:right="-143" w:firstLine="0"/>
              <w:rPr>
                <w:rFonts w:eastAsia="Calibri"/>
                <w:bCs/>
                <w:color w:val="000000" w:themeColor="text1"/>
                <w:sz w:val="21"/>
                <w:szCs w:val="21"/>
                <w:lang w:eastAsia="en-US"/>
                <w14:textFill>
                  <w14:solidFill>
                    <w14:schemeClr w14:val="tx1"/>
                  </w14:solidFill>
                </w14:textFill>
              </w:rPr>
            </w:pPr>
          </w:p>
        </w:tc>
      </w:tr>
      <w:tr w14:paraId="191D3211">
        <w:tblPrEx>
          <w:tblCellMar>
            <w:top w:w="0" w:type="dxa"/>
            <w:left w:w="0" w:type="dxa"/>
            <w:bottom w:w="0" w:type="dxa"/>
            <w:right w:w="0" w:type="dxa"/>
          </w:tblCellMar>
        </w:tblPrEx>
        <w:trPr>
          <w:trHeight w:val="195"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6C47169">
            <w:pPr>
              <w:ind w:right="-143" w:firstLine="0"/>
              <w:rPr>
                <w:rFonts w:eastAsia="Calibri"/>
                <w:b/>
                <w:bCs/>
                <w:color w:val="000000" w:themeColor="text1"/>
                <w:sz w:val="21"/>
                <w:szCs w:val="21"/>
                <w:lang w:eastAsia="en-US"/>
                <w14:textFill>
                  <w14:solidFill>
                    <w14:schemeClr w14:val="tx1"/>
                  </w14:solidFill>
                </w14:textFill>
              </w:rPr>
            </w:pPr>
            <w:r>
              <w:rPr>
                <w:rFonts w:eastAsia="Calibri"/>
                <w:b/>
                <w:bCs/>
                <w:color w:val="000000" w:themeColor="text1"/>
                <w:sz w:val="21"/>
                <w:szCs w:val="21"/>
                <w:lang w:eastAsia="en-US"/>
                <w14:textFill>
                  <w14:solidFill>
                    <w14:schemeClr w14:val="tx1"/>
                  </w14:solidFill>
                </w14:textFill>
              </w:rPr>
              <w:t>Материал наружных стен</w:t>
            </w:r>
          </w:p>
        </w:tc>
        <w:tc>
          <w:tcPr>
            <w:tcW w:w="3969" w:type="dxa"/>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793FA155">
            <w:pPr>
              <w:ind w:right="-143" w:firstLine="0"/>
              <w:rPr>
                <w:rFonts w:eastAsia="Calibri"/>
                <w:color w:val="000000" w:themeColor="text1"/>
                <w:sz w:val="21"/>
                <w:szCs w:val="21"/>
                <w:lang w:eastAsia="en-US"/>
                <w14:textFill>
                  <w14:solidFill>
                    <w14:schemeClr w14:val="tx1"/>
                  </w14:solidFill>
                </w14:textFill>
              </w:rPr>
            </w:pPr>
          </w:p>
        </w:tc>
      </w:tr>
      <w:tr w14:paraId="23894051">
        <w:tblPrEx>
          <w:tblCellMar>
            <w:top w:w="0" w:type="dxa"/>
            <w:left w:w="0" w:type="dxa"/>
            <w:bottom w:w="0" w:type="dxa"/>
            <w:right w:w="0" w:type="dxa"/>
          </w:tblCellMar>
        </w:tblPrEx>
        <w:trPr>
          <w:trHeight w:val="39" w:hRule="atLeast"/>
        </w:trPr>
        <w:tc>
          <w:tcPr>
            <w:tcW w:w="524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10167724">
            <w:pPr>
              <w:ind w:right="-143" w:firstLine="0"/>
              <w:rPr>
                <w:rFonts w:eastAsia="Calibri"/>
                <w:b/>
                <w:bCs/>
                <w:color w:val="000000" w:themeColor="text1"/>
                <w:sz w:val="21"/>
                <w:szCs w:val="21"/>
                <w:lang w:eastAsia="en-US"/>
                <w14:textFill>
                  <w14:solidFill>
                    <w14:schemeClr w14:val="tx1"/>
                  </w14:solidFill>
                </w14:textFill>
              </w:rPr>
            </w:pPr>
            <w:r>
              <w:rPr>
                <w:rFonts w:eastAsia="Calibri"/>
                <w:b/>
                <w:bCs/>
                <w:color w:val="000000" w:themeColor="text1"/>
                <w:sz w:val="21"/>
                <w:szCs w:val="21"/>
                <w:lang w:eastAsia="en-US"/>
                <w14:textFill>
                  <w14:solidFill>
                    <w14:schemeClr w14:val="tx1"/>
                  </w14:solidFill>
                </w14:textFill>
              </w:rPr>
              <w:t>Материал поэтажных перекрытий</w:t>
            </w:r>
          </w:p>
        </w:tc>
        <w:tc>
          <w:tcPr>
            <w:tcW w:w="3969" w:type="dxa"/>
            <w:tcBorders>
              <w:top w:val="nil"/>
              <w:left w:val="nil"/>
              <w:bottom w:val="single" w:color="auto" w:sz="8" w:space="0"/>
              <w:right w:val="single" w:color="auto" w:sz="8" w:space="0"/>
            </w:tcBorders>
            <w:tcMar>
              <w:top w:w="0" w:type="dxa"/>
              <w:left w:w="108" w:type="dxa"/>
              <w:bottom w:w="0" w:type="dxa"/>
              <w:right w:w="108" w:type="dxa"/>
            </w:tcMar>
          </w:tcPr>
          <w:p w14:paraId="48E56610">
            <w:pPr>
              <w:ind w:right="-143" w:firstLine="0"/>
              <w:rPr>
                <w:rFonts w:eastAsia="Calibri"/>
                <w:color w:val="000000" w:themeColor="text1"/>
                <w:sz w:val="21"/>
                <w:szCs w:val="21"/>
                <w:lang w:eastAsia="en-US"/>
                <w14:textFill>
                  <w14:solidFill>
                    <w14:schemeClr w14:val="tx1"/>
                  </w14:solidFill>
                </w14:textFill>
              </w:rPr>
            </w:pPr>
          </w:p>
        </w:tc>
      </w:tr>
    </w:tbl>
    <w:p w14:paraId="3E4FF520">
      <w:pPr>
        <w:widowControl/>
        <w:tabs>
          <w:tab w:val="left" w:pos="567"/>
          <w:tab w:val="left" w:pos="7188"/>
        </w:tabs>
        <w:suppressAutoHyphens w:val="0"/>
        <w:spacing w:line="240" w:lineRule="auto"/>
        <w:ind w:firstLine="567"/>
        <w:jc w:val="both"/>
        <w:rPr>
          <w:iCs/>
          <w:color w:val="000000"/>
          <w:sz w:val="21"/>
          <w:szCs w:val="21"/>
          <w:lang w:eastAsia="ru-RU"/>
        </w:rPr>
      </w:pPr>
    </w:p>
    <w:p w14:paraId="4D692384">
      <w:pPr>
        <w:widowControl/>
        <w:tabs>
          <w:tab w:val="left" w:pos="567"/>
          <w:tab w:val="left" w:pos="7188"/>
        </w:tabs>
        <w:suppressAutoHyphens w:val="0"/>
        <w:spacing w:line="240" w:lineRule="auto"/>
        <w:ind w:firstLine="567"/>
        <w:jc w:val="both"/>
        <w:rPr>
          <w:iCs/>
          <w:color w:val="000000"/>
          <w:sz w:val="21"/>
          <w:szCs w:val="21"/>
          <w:lang w:eastAsia="ru-RU"/>
        </w:rPr>
      </w:pPr>
    </w:p>
    <w:p w14:paraId="4000A4DE">
      <w:pPr>
        <w:widowControl/>
        <w:tabs>
          <w:tab w:val="left" w:pos="567"/>
          <w:tab w:val="left" w:pos="7188"/>
        </w:tabs>
        <w:suppressAutoHyphens w:val="0"/>
        <w:spacing w:line="240" w:lineRule="auto"/>
        <w:ind w:firstLine="567"/>
        <w:jc w:val="both"/>
        <w:rPr>
          <w:iCs/>
          <w:color w:val="000000"/>
          <w:sz w:val="21"/>
          <w:szCs w:val="21"/>
          <w:lang w:eastAsia="ru-RU"/>
        </w:rPr>
      </w:pPr>
      <w:r>
        <w:rPr>
          <w:iCs/>
          <w:color w:val="000000"/>
          <w:sz w:val="21"/>
          <w:szCs w:val="21"/>
          <w:lang w:eastAsia="ru-RU"/>
        </w:rPr>
        <w:t>Указанный в п. 1.1. настоящего Договора адрес Многоквартирного дома является строительным адресом. После ввода Многоквартирного дома в эксплуатацию ему будет присвоен почтовый адрес.</w:t>
      </w:r>
    </w:p>
    <w:p w14:paraId="6500D2A2">
      <w:pPr>
        <w:widowControl/>
        <w:suppressAutoHyphens w:val="0"/>
        <w:spacing w:line="240" w:lineRule="auto"/>
        <w:ind w:firstLine="567"/>
        <w:jc w:val="both"/>
        <w:rPr>
          <w:iCs/>
          <w:color w:val="000000"/>
          <w:sz w:val="21"/>
          <w:szCs w:val="21"/>
          <w:lang w:eastAsia="ru-RU"/>
        </w:rPr>
      </w:pPr>
      <w:r>
        <w:rPr>
          <w:iCs/>
          <w:color w:val="000000"/>
          <w:sz w:val="21"/>
          <w:szCs w:val="21"/>
          <w:lang w:eastAsia="ru-RU"/>
        </w:rPr>
        <w:t>1.2.</w:t>
      </w:r>
      <w:r>
        <w:rPr>
          <w:b/>
          <w:bCs/>
          <w:iCs/>
          <w:color w:val="000000"/>
          <w:sz w:val="21"/>
          <w:szCs w:val="21"/>
          <w:lang w:eastAsia="ru-RU"/>
        </w:rPr>
        <w:t xml:space="preserve"> Объект долевого строительства или Объект </w:t>
      </w:r>
      <w:r>
        <w:rPr>
          <w:iCs/>
          <w:color w:val="000000"/>
          <w:sz w:val="21"/>
          <w:szCs w:val="21"/>
          <w:lang w:eastAsia="ru-RU"/>
        </w:rPr>
        <w:t xml:space="preserve">– помещение, назначение - </w:t>
      </w:r>
      <w:r>
        <w:rPr>
          <w:b/>
          <w:iCs/>
          <w:color w:val="000000"/>
          <w:sz w:val="21"/>
          <w:szCs w:val="21"/>
          <w:lang w:eastAsia="ru-RU"/>
        </w:rPr>
        <w:t>жилое</w:t>
      </w:r>
      <w:r>
        <w:rPr>
          <w:iCs/>
          <w:color w:val="000000"/>
          <w:sz w:val="21"/>
          <w:szCs w:val="21"/>
          <w:lang w:eastAsia="ru-RU"/>
        </w:rPr>
        <w:t>, подлежащее передаче УЧАСТНИКУ после получения Разрешения на ввод в эксплуатацию Многоквартирного дома.</w:t>
      </w:r>
    </w:p>
    <w:p w14:paraId="657F2CEF">
      <w:pPr>
        <w:widowControl/>
        <w:suppressAutoHyphens w:val="0"/>
        <w:spacing w:line="240" w:lineRule="auto"/>
        <w:ind w:firstLine="567"/>
        <w:jc w:val="both"/>
        <w:rPr>
          <w:iCs/>
          <w:color w:val="000000"/>
          <w:sz w:val="21"/>
          <w:szCs w:val="21"/>
          <w:lang w:eastAsia="ru-RU"/>
        </w:rPr>
      </w:pPr>
      <w:r>
        <w:rPr>
          <w:iCs/>
          <w:color w:val="000000"/>
          <w:sz w:val="21"/>
          <w:szCs w:val="21"/>
          <w:lang w:eastAsia="ru-RU"/>
        </w:rPr>
        <w:t xml:space="preserve">1.3. </w:t>
      </w:r>
      <w:r>
        <w:rPr>
          <w:b/>
          <w:bCs/>
          <w:iCs/>
          <w:color w:val="000000"/>
          <w:sz w:val="21"/>
          <w:szCs w:val="21"/>
          <w:lang w:eastAsia="ru-RU"/>
        </w:rPr>
        <w:t>Проектная жилая площадь Объекта</w:t>
      </w:r>
      <w:r>
        <w:rPr>
          <w:iCs/>
          <w:color w:val="000000"/>
          <w:sz w:val="21"/>
          <w:szCs w:val="21"/>
          <w:lang w:eastAsia="ru-RU"/>
        </w:rPr>
        <w:t xml:space="preserve"> – площадь по проекту в соответствии с ч. 5. ст. 15 "Жилищного кодекса Российской Федерации"</w:t>
      </w:r>
      <w:r>
        <w:rPr>
          <w:sz w:val="21"/>
          <w:szCs w:val="21"/>
        </w:rPr>
        <w:t xml:space="preserve"> </w:t>
      </w:r>
      <w:r>
        <w:rPr>
          <w:iCs/>
          <w:color w:val="000000"/>
          <w:sz w:val="21"/>
          <w:szCs w:val="21"/>
          <w:lang w:eastAsia="ru-RU"/>
        </w:rPr>
        <w:t>без учета обмеров, произведенных лицом, оказывающим услуги в сфере технической инвентаризации и/или кадастрового учета.</w:t>
      </w:r>
    </w:p>
    <w:p w14:paraId="14B07055">
      <w:pPr>
        <w:widowControl/>
        <w:suppressAutoHyphens w:val="0"/>
        <w:spacing w:line="240" w:lineRule="auto"/>
        <w:ind w:firstLine="567"/>
        <w:jc w:val="both"/>
        <w:rPr>
          <w:bCs/>
          <w:iCs/>
          <w:color w:val="000000"/>
          <w:sz w:val="21"/>
          <w:szCs w:val="21"/>
          <w:lang w:eastAsia="ru-RU"/>
        </w:rPr>
      </w:pPr>
      <w:r>
        <w:rPr>
          <w:iCs/>
          <w:color w:val="000000"/>
          <w:sz w:val="21"/>
          <w:szCs w:val="21"/>
          <w:lang w:eastAsia="ru-RU"/>
        </w:rPr>
        <w:t>1.4.</w:t>
      </w:r>
      <w:r>
        <w:rPr>
          <w:b/>
          <w:bCs/>
          <w:iCs/>
          <w:color w:val="000000"/>
          <w:sz w:val="21"/>
          <w:szCs w:val="21"/>
          <w:lang w:eastAsia="ru-RU"/>
        </w:rPr>
        <w:t xml:space="preserve"> Проектная общая приведенная площадь Объекта - </w:t>
      </w:r>
      <w:r>
        <w:rPr>
          <w:bCs/>
          <w:iCs/>
          <w:color w:val="000000"/>
          <w:sz w:val="21"/>
          <w:szCs w:val="21"/>
          <w:lang w:eastAsia="ru-RU"/>
        </w:rPr>
        <w:t xml:space="preserve">площадь по проекту, рассчитанная в соответствии с Приказом Минстроя России от 25 ноября 2016 г. N 854/пр, </w:t>
      </w:r>
      <w:r>
        <w:rPr>
          <w:color w:val="000000"/>
          <w:sz w:val="21"/>
          <w:szCs w:val="21"/>
          <w:lang w:eastAsia="ru-RU"/>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bookmarkStart w:id="4" w:name="_Hlk222389813"/>
      <w:r>
        <w:rPr>
          <w:bCs/>
          <w:iCs/>
          <w:color w:val="000000"/>
          <w:sz w:val="21"/>
          <w:szCs w:val="21"/>
          <w:lang w:eastAsia="ru-RU"/>
        </w:rPr>
        <w:t xml:space="preserve">без учета обмеров, произведенных лицом, оказывающим услуги в сфере технической инвентаризации и/или кадастрового учета.  </w:t>
      </w:r>
    </w:p>
    <w:bookmarkEnd w:id="4"/>
    <w:p w14:paraId="4FD22FA4">
      <w:pPr>
        <w:widowControl/>
        <w:suppressAutoHyphens w:val="0"/>
        <w:spacing w:line="240" w:lineRule="auto"/>
        <w:ind w:firstLine="567"/>
        <w:jc w:val="both"/>
        <w:rPr>
          <w:bCs/>
          <w:iCs/>
          <w:color w:val="000000"/>
          <w:sz w:val="21"/>
          <w:szCs w:val="21"/>
          <w:lang w:eastAsia="ru-RU"/>
        </w:rPr>
      </w:pPr>
      <w:r>
        <w:rPr>
          <w:color w:val="000000"/>
          <w:sz w:val="21"/>
          <w:szCs w:val="21"/>
          <w:lang w:eastAsia="ru-RU"/>
        </w:rPr>
        <w:t>1.5.</w:t>
      </w:r>
      <w:r>
        <w:rPr>
          <w:b/>
          <w:bCs/>
          <w:color w:val="000000"/>
          <w:sz w:val="21"/>
          <w:szCs w:val="21"/>
          <w:lang w:eastAsia="ru-RU"/>
        </w:rPr>
        <w:t xml:space="preserve"> Жилая площадь</w:t>
      </w:r>
      <w:r>
        <w:rPr>
          <w:b/>
          <w:bCs/>
          <w:iCs/>
          <w:color w:val="000000"/>
          <w:sz w:val="21"/>
          <w:szCs w:val="21"/>
          <w:lang w:eastAsia="ru-RU"/>
        </w:rPr>
        <w:t xml:space="preserve"> Объекта </w:t>
      </w:r>
      <w:r>
        <w:rPr>
          <w:bCs/>
          <w:iCs/>
          <w:color w:val="000000"/>
          <w:sz w:val="21"/>
          <w:szCs w:val="21"/>
          <w:lang w:eastAsia="ru-RU"/>
        </w:rPr>
        <w:t xml:space="preserve">- </w:t>
      </w:r>
      <w:bookmarkStart w:id="5" w:name="_Hlk222389793"/>
      <w:r>
        <w:rPr>
          <w:bCs/>
          <w:color w:val="000000"/>
          <w:sz w:val="21"/>
          <w:szCs w:val="21"/>
          <w:lang w:eastAsia="ru-RU"/>
        </w:rPr>
        <w:t>площадь в соответствии с ч. 5. ст. 15 "Жилищного кодекса Российской Федерации"</w:t>
      </w:r>
      <w:bookmarkEnd w:id="5"/>
      <w:r>
        <w:rPr>
          <w:bCs/>
          <w:color w:val="000000"/>
          <w:sz w:val="21"/>
          <w:szCs w:val="21"/>
          <w:lang w:eastAsia="ru-RU"/>
        </w:rPr>
        <w:t xml:space="preserve"> </w:t>
      </w:r>
      <w:r>
        <w:rPr>
          <w:color w:val="000000"/>
          <w:sz w:val="21"/>
          <w:szCs w:val="21"/>
          <w:lang w:eastAsia="ru-RU"/>
        </w:rPr>
        <w:t xml:space="preserve">в соответствии с данными экспликации технического плана здания (Многоквартирного дома), изготовленного </w:t>
      </w:r>
      <w:r>
        <w:rPr>
          <w:bCs/>
          <w:iCs/>
          <w:color w:val="000000"/>
          <w:sz w:val="21"/>
          <w:szCs w:val="21"/>
          <w:lang w:eastAsia="ru-RU"/>
        </w:rPr>
        <w:t xml:space="preserve">лицом, оказывающим услуги в сфере технической инвентаризации и/или кадастрового учета.  </w:t>
      </w:r>
    </w:p>
    <w:p w14:paraId="297E9300">
      <w:pPr>
        <w:widowControl/>
        <w:suppressAutoHyphens w:val="0"/>
        <w:spacing w:line="240" w:lineRule="auto"/>
        <w:ind w:firstLine="567"/>
        <w:jc w:val="both"/>
        <w:rPr>
          <w:bCs/>
          <w:iCs/>
          <w:color w:val="000000"/>
          <w:sz w:val="21"/>
          <w:szCs w:val="21"/>
          <w:lang w:eastAsia="ru-RU"/>
        </w:rPr>
      </w:pPr>
      <w:r>
        <w:rPr>
          <w:color w:val="000000"/>
          <w:sz w:val="21"/>
          <w:szCs w:val="21"/>
          <w:lang w:eastAsia="ru-RU"/>
        </w:rPr>
        <w:t>1.6.</w:t>
      </w:r>
      <w:r>
        <w:rPr>
          <w:b/>
          <w:bCs/>
          <w:color w:val="000000"/>
          <w:sz w:val="21"/>
          <w:szCs w:val="21"/>
          <w:lang w:eastAsia="ru-RU"/>
        </w:rPr>
        <w:t xml:space="preserve"> Общая </w:t>
      </w:r>
      <w:r>
        <w:rPr>
          <w:b/>
          <w:bCs/>
          <w:iCs/>
          <w:color w:val="000000"/>
          <w:sz w:val="21"/>
          <w:szCs w:val="21"/>
          <w:lang w:eastAsia="ru-RU"/>
        </w:rPr>
        <w:t xml:space="preserve">приведенная площадь Объекта </w:t>
      </w:r>
      <w:r>
        <w:rPr>
          <w:bCs/>
          <w:iCs/>
          <w:color w:val="000000"/>
          <w:sz w:val="21"/>
          <w:szCs w:val="21"/>
          <w:lang w:eastAsia="ru-RU"/>
        </w:rPr>
        <w:t>– площадь, рассчитанная в соответствии с Приказом Минстроя России от 25 ноября 2016 г. N 854/пр,</w:t>
      </w:r>
      <w:r>
        <w:rPr>
          <w:b/>
          <w:bCs/>
          <w:iCs/>
          <w:color w:val="000000"/>
          <w:sz w:val="21"/>
          <w:szCs w:val="21"/>
          <w:lang w:eastAsia="ru-RU"/>
        </w:rPr>
        <w:t xml:space="preserve"> </w:t>
      </w:r>
      <w:r>
        <w:rPr>
          <w:color w:val="000000"/>
          <w:sz w:val="21"/>
          <w:szCs w:val="21"/>
          <w:lang w:eastAsia="ru-RU"/>
        </w:rPr>
        <w:t>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Многоквартирного дома изготовленного лицом, оказывающим услуги в сфере технической инвентаризации и/или кадастрового учета.</w:t>
      </w:r>
    </w:p>
    <w:p w14:paraId="76678F01">
      <w:pPr>
        <w:spacing w:line="240" w:lineRule="auto"/>
        <w:ind w:right="-143" w:firstLine="567"/>
        <w:jc w:val="center"/>
        <w:rPr>
          <w:b/>
          <w:sz w:val="21"/>
          <w:szCs w:val="21"/>
        </w:rPr>
      </w:pPr>
    </w:p>
    <w:p w14:paraId="73979DFF">
      <w:pPr>
        <w:widowControl/>
        <w:tabs>
          <w:tab w:val="left" w:pos="284"/>
        </w:tabs>
        <w:suppressAutoHyphens w:val="0"/>
        <w:spacing w:line="240" w:lineRule="auto"/>
        <w:ind w:firstLine="0"/>
        <w:jc w:val="center"/>
        <w:rPr>
          <w:b/>
          <w:bCs/>
          <w:color w:val="000000"/>
          <w:sz w:val="21"/>
          <w:szCs w:val="21"/>
          <w:lang w:eastAsia="ru-RU"/>
        </w:rPr>
      </w:pPr>
      <w:r>
        <w:rPr>
          <w:b/>
          <w:bCs/>
          <w:color w:val="000000"/>
          <w:sz w:val="21"/>
          <w:szCs w:val="21"/>
          <w:lang w:eastAsia="ru-RU"/>
        </w:rPr>
        <w:t>2.ПРАВОВОЕ ОБОСНОВАНИЕ ДОГОВОРА.</w:t>
      </w:r>
    </w:p>
    <w:p w14:paraId="1A953A26">
      <w:pPr>
        <w:widowControl/>
        <w:tabs>
          <w:tab w:val="left" w:pos="360"/>
          <w:tab w:val="left" w:pos="809"/>
          <w:tab w:val="right" w:pos="9356"/>
        </w:tabs>
        <w:suppressAutoHyphens w:val="0"/>
        <w:spacing w:line="240" w:lineRule="auto"/>
        <w:ind w:firstLine="567"/>
        <w:jc w:val="both"/>
        <w:rPr>
          <w:color w:val="000000"/>
          <w:sz w:val="21"/>
          <w:szCs w:val="21"/>
          <w:lang w:eastAsia="ru-RU"/>
        </w:rPr>
      </w:pPr>
      <w:r>
        <w:rPr>
          <w:color w:val="000000"/>
          <w:sz w:val="21"/>
          <w:szCs w:val="21"/>
          <w:lang w:eastAsia="ru-RU"/>
        </w:rPr>
        <w:t>2.1. 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214-ФЗ).</w:t>
      </w:r>
    </w:p>
    <w:p w14:paraId="69E476AE">
      <w:pPr>
        <w:widowControl/>
        <w:tabs>
          <w:tab w:val="left" w:pos="360"/>
          <w:tab w:val="left" w:pos="809"/>
          <w:tab w:val="right" w:pos="9356"/>
        </w:tabs>
        <w:suppressAutoHyphens w:val="0"/>
        <w:spacing w:line="240" w:lineRule="auto"/>
        <w:ind w:firstLine="567"/>
        <w:jc w:val="both"/>
        <w:rPr>
          <w:b/>
          <w:color w:val="000000"/>
          <w:sz w:val="21"/>
          <w:szCs w:val="21"/>
          <w:lang w:eastAsia="ru-RU"/>
        </w:rPr>
      </w:pPr>
      <w:r>
        <w:rPr>
          <w:color w:val="000000"/>
          <w:sz w:val="21"/>
          <w:szCs w:val="21"/>
          <w:lang w:eastAsia="ru-RU"/>
        </w:rPr>
        <w:t xml:space="preserve">2.2. ЗАСТРОЙЩИК осуществляет строительство Многоквартирного дома на земельном участке с кадастровым номером </w:t>
      </w:r>
      <w:bookmarkStart w:id="6" w:name="_Hlk217906221"/>
      <w:r>
        <w:rPr>
          <w:b/>
          <w:iCs/>
          <w:color w:val="000000"/>
          <w:sz w:val="21"/>
          <w:szCs w:val="21"/>
          <w:lang w:eastAsia="ru-RU"/>
        </w:rPr>
        <w:t>16:52:060201:1633</w:t>
      </w:r>
      <w:bookmarkEnd w:id="6"/>
      <w:r>
        <w:rPr>
          <w:b/>
          <w:color w:val="000000"/>
          <w:sz w:val="21"/>
          <w:szCs w:val="21"/>
          <w:lang w:eastAsia="ru-RU"/>
        </w:rPr>
        <w:t>,</w:t>
      </w:r>
      <w:r>
        <w:rPr>
          <w:color w:val="000000"/>
          <w:sz w:val="21"/>
          <w:szCs w:val="21"/>
          <w:lang w:eastAsia="ru-RU"/>
        </w:rPr>
        <w:t xml:space="preserve"> далее – участок. </w:t>
      </w:r>
    </w:p>
    <w:p w14:paraId="5C6DF99A">
      <w:pPr>
        <w:widowControl/>
        <w:tabs>
          <w:tab w:val="left" w:pos="142"/>
          <w:tab w:val="left" w:pos="567"/>
          <w:tab w:val="left" w:pos="7188"/>
          <w:tab w:val="right" w:pos="9356"/>
        </w:tabs>
        <w:suppressAutoHyphens w:val="0"/>
        <w:spacing w:line="240" w:lineRule="auto"/>
        <w:ind w:firstLine="0"/>
        <w:jc w:val="both"/>
        <w:rPr>
          <w:b/>
          <w:color w:val="auto"/>
          <w:sz w:val="21"/>
          <w:szCs w:val="21"/>
          <w:lang w:eastAsia="ru-RU"/>
        </w:rPr>
      </w:pPr>
      <w:r>
        <w:rPr>
          <w:color w:val="auto"/>
          <w:sz w:val="21"/>
          <w:szCs w:val="21"/>
          <w:lang w:eastAsia="ru-RU"/>
        </w:rPr>
        <w:t xml:space="preserve">Участок принадлежит ЗАСТРОЙЩИКУ на праве аренды земельного участка </w:t>
      </w:r>
      <w:r>
        <w:rPr>
          <w:b/>
          <w:bCs/>
          <w:color w:val="auto"/>
          <w:sz w:val="21"/>
          <w:szCs w:val="21"/>
          <w:lang w:eastAsia="ru-RU"/>
        </w:rPr>
        <w:t>№ 851/а от 13.08.2025 г.</w:t>
      </w:r>
      <w:r>
        <w:rPr>
          <w:color w:val="auto"/>
          <w:sz w:val="21"/>
          <w:szCs w:val="21"/>
          <w:lang w:eastAsia="ru-RU"/>
        </w:rPr>
        <w:t xml:space="preserve">, о чем в Едином государственном реестре прав на недвижимое имущество сделана запись о государственной регистрации права </w:t>
      </w:r>
      <w:r>
        <w:rPr>
          <w:b/>
          <w:color w:val="auto"/>
          <w:sz w:val="21"/>
          <w:szCs w:val="21"/>
          <w:lang w:eastAsia="ru-RU"/>
        </w:rPr>
        <w:t>№16:52:060201:1633-16/136/2025-2 от 25.08.2025 г.</w:t>
      </w:r>
    </w:p>
    <w:p w14:paraId="1ACB0D48">
      <w:pPr>
        <w:widowControl/>
        <w:tabs>
          <w:tab w:val="left" w:pos="7188"/>
          <w:tab w:val="right" w:pos="9356"/>
        </w:tabs>
        <w:suppressAutoHyphens w:val="0"/>
        <w:spacing w:line="240" w:lineRule="auto"/>
        <w:ind w:firstLine="567"/>
        <w:jc w:val="both"/>
        <w:rPr>
          <w:b/>
          <w:color w:val="auto"/>
          <w:sz w:val="21"/>
          <w:szCs w:val="21"/>
          <w:lang w:eastAsia="ru-RU"/>
        </w:rPr>
      </w:pPr>
      <w:r>
        <w:rPr>
          <w:color w:val="000000"/>
          <w:sz w:val="21"/>
          <w:szCs w:val="21"/>
          <w:lang w:eastAsia="ru-RU"/>
        </w:rPr>
        <w:t xml:space="preserve">2.3. Строительство осуществляется на основании </w:t>
      </w:r>
      <w:r>
        <w:rPr>
          <w:b/>
          <w:color w:val="000000"/>
          <w:sz w:val="21"/>
          <w:szCs w:val="21"/>
          <w:lang w:eastAsia="ru-RU"/>
        </w:rPr>
        <w:t xml:space="preserve">Разрешения на строительство № </w:t>
      </w:r>
      <w:r>
        <w:rPr>
          <w:b/>
          <w:color w:val="000000"/>
          <w:sz w:val="21"/>
          <w:szCs w:val="21"/>
          <w:lang w:val="en-US" w:eastAsia="ru-RU"/>
        </w:rPr>
        <w:t>RU</w:t>
      </w:r>
      <w:r>
        <w:rPr>
          <w:b/>
          <w:color w:val="000000"/>
          <w:sz w:val="21"/>
          <w:szCs w:val="21"/>
          <w:lang w:eastAsia="ru-RU"/>
        </w:rPr>
        <w:t>16302000-596-2025 от 02.12.2025 г</w:t>
      </w:r>
      <w:r>
        <w:rPr>
          <w:bCs/>
          <w:color w:val="000000"/>
          <w:sz w:val="21"/>
          <w:szCs w:val="21"/>
          <w:lang w:eastAsia="ru-RU"/>
        </w:rPr>
        <w:t xml:space="preserve">., выдано </w:t>
      </w:r>
      <w:r>
        <w:rPr>
          <w:bCs/>
          <w:color w:val="auto"/>
          <w:sz w:val="21"/>
          <w:szCs w:val="21"/>
          <w:lang w:eastAsia="ru-RU"/>
        </w:rPr>
        <w:t>Исполнительным</w:t>
      </w:r>
      <w:r>
        <w:rPr>
          <w:color w:val="auto"/>
          <w:sz w:val="21"/>
          <w:szCs w:val="21"/>
          <w:lang w:eastAsia="ru-RU"/>
        </w:rPr>
        <w:t xml:space="preserve"> комитетом муниципального образования город Набережные Челны на строительство объекта капитального строительства:</w:t>
      </w:r>
      <w:r>
        <w:rPr>
          <w:sz w:val="21"/>
          <w:szCs w:val="21"/>
        </w:rPr>
        <w:t xml:space="preserve"> </w:t>
      </w:r>
      <w:r>
        <w:rPr>
          <w:color w:val="auto"/>
          <w:sz w:val="21"/>
          <w:szCs w:val="21"/>
          <w:lang w:eastAsia="ru-RU"/>
        </w:rPr>
        <w:t>6-ти этажные жилые дома со встроенными нежилыми помещениями в г. Набережные Челны, 61 комплекс, Проспект Чулман.</w:t>
      </w:r>
    </w:p>
    <w:p w14:paraId="7AC94E75">
      <w:pPr>
        <w:widowControl/>
        <w:tabs>
          <w:tab w:val="left" w:pos="1560"/>
          <w:tab w:val="right" w:pos="9356"/>
        </w:tabs>
        <w:suppressAutoHyphens w:val="0"/>
        <w:spacing w:line="240" w:lineRule="auto"/>
        <w:ind w:firstLine="567"/>
        <w:jc w:val="both"/>
        <w:rPr>
          <w:color w:val="000000"/>
          <w:sz w:val="21"/>
          <w:szCs w:val="21"/>
          <w:u w:val="single"/>
          <w:lang w:eastAsia="ru-RU"/>
        </w:rPr>
      </w:pPr>
      <w:r>
        <w:rPr>
          <w:bCs/>
          <w:color w:val="000000"/>
          <w:sz w:val="21"/>
          <w:szCs w:val="21"/>
          <w:lang w:eastAsia="ru-RU"/>
        </w:rPr>
        <w:t xml:space="preserve">2.4. </w:t>
      </w:r>
      <w:r>
        <w:rPr>
          <w:b/>
          <w:color w:val="000000"/>
          <w:sz w:val="21"/>
          <w:szCs w:val="21"/>
          <w:lang w:eastAsia="ru-RU"/>
        </w:rPr>
        <w:t xml:space="preserve">Проектная декларация № 16-002150 </w:t>
      </w:r>
      <w:r>
        <w:rPr>
          <w:color w:val="000000"/>
          <w:sz w:val="21"/>
          <w:szCs w:val="21"/>
          <w:lang w:eastAsia="ru-RU"/>
        </w:rPr>
        <w:t xml:space="preserve">(далее – Проектная декларация) опубликована на сайте </w:t>
      </w:r>
      <w:r>
        <w:fldChar w:fldCharType="begin"/>
      </w:r>
      <w:r>
        <w:instrText xml:space="preserve"> HYPERLINK "https://наш.дом.рф/" </w:instrText>
      </w:r>
      <w:r>
        <w:fldChar w:fldCharType="separate"/>
      </w:r>
      <w:r>
        <w:rPr>
          <w:rStyle w:val="6"/>
          <w:sz w:val="21"/>
          <w:szCs w:val="21"/>
          <w:lang w:eastAsia="ru-RU"/>
        </w:rPr>
        <w:t>https://наш.дом.рф/</w:t>
      </w:r>
      <w:r>
        <w:rPr>
          <w:rStyle w:val="6"/>
          <w:sz w:val="21"/>
          <w:szCs w:val="21"/>
          <w:lang w:eastAsia="ru-RU"/>
        </w:rPr>
        <w:fldChar w:fldCharType="end"/>
      </w:r>
      <w:r>
        <w:rPr>
          <w:color w:val="000000"/>
          <w:sz w:val="21"/>
          <w:szCs w:val="21"/>
          <w:u w:val="single"/>
          <w:lang w:eastAsia="ru-RU"/>
        </w:rPr>
        <w:t>.</w:t>
      </w:r>
    </w:p>
    <w:p w14:paraId="156BA41D">
      <w:pPr>
        <w:widowControl/>
        <w:tabs>
          <w:tab w:val="left" w:pos="1560"/>
          <w:tab w:val="right" w:pos="9356"/>
        </w:tabs>
        <w:suppressAutoHyphens w:val="0"/>
        <w:spacing w:line="240" w:lineRule="auto"/>
        <w:ind w:firstLine="567"/>
        <w:jc w:val="both"/>
        <w:rPr>
          <w:color w:val="000000"/>
          <w:sz w:val="21"/>
          <w:szCs w:val="21"/>
          <w:lang w:eastAsia="ru-RU"/>
        </w:rPr>
      </w:pPr>
    </w:p>
    <w:p w14:paraId="66FE635C">
      <w:pPr>
        <w:spacing w:line="240" w:lineRule="auto"/>
        <w:ind w:right="-143" w:firstLine="567"/>
        <w:jc w:val="both"/>
        <w:rPr>
          <w:sz w:val="21"/>
          <w:szCs w:val="21"/>
        </w:rPr>
      </w:pPr>
    </w:p>
    <w:p w14:paraId="1ECC818C">
      <w:pPr>
        <w:widowControl/>
        <w:tabs>
          <w:tab w:val="left" w:pos="284"/>
        </w:tabs>
        <w:suppressAutoHyphens w:val="0"/>
        <w:spacing w:line="240" w:lineRule="auto"/>
        <w:ind w:firstLine="0"/>
        <w:jc w:val="center"/>
        <w:rPr>
          <w:b/>
          <w:bCs/>
          <w:color w:val="000000"/>
          <w:sz w:val="21"/>
          <w:szCs w:val="21"/>
          <w:lang w:eastAsia="ru-RU"/>
        </w:rPr>
      </w:pPr>
      <w:r>
        <w:rPr>
          <w:b/>
          <w:bCs/>
          <w:color w:val="000000"/>
          <w:sz w:val="21"/>
          <w:szCs w:val="21"/>
          <w:lang w:eastAsia="ru-RU"/>
        </w:rPr>
        <w:t>3.ПРЕДМЕТ ДОГОВОРА</w:t>
      </w:r>
    </w:p>
    <w:p w14:paraId="2692923B">
      <w:pPr>
        <w:widowControl/>
        <w:tabs>
          <w:tab w:val="left" w:pos="709"/>
        </w:tabs>
        <w:suppressAutoHyphens w:val="0"/>
        <w:spacing w:line="240" w:lineRule="auto"/>
        <w:ind w:firstLine="567"/>
        <w:jc w:val="both"/>
        <w:rPr>
          <w:iCs/>
          <w:color w:val="000000"/>
          <w:sz w:val="21"/>
          <w:szCs w:val="21"/>
          <w:lang w:eastAsia="ru-RU"/>
        </w:rPr>
      </w:pPr>
      <w:r>
        <w:rPr>
          <w:iCs/>
          <w:color w:val="000000"/>
          <w:sz w:val="21"/>
          <w:szCs w:val="21"/>
          <w:lang w:eastAsia="ru-RU"/>
        </w:rPr>
        <w:t xml:space="preserve">3.1. ЗАСТРОЙЩИК обязуется в предусмотренный Договором срок своими силами или с привлечением других лиц построить (создать) Многоквартирный дом и после получения Разрешения на ввод в эксплуатацию Многоквартирного дома передать </w:t>
      </w:r>
      <w:r>
        <w:rPr>
          <w:b/>
          <w:iCs/>
          <w:color w:val="000000"/>
          <w:sz w:val="21"/>
          <w:szCs w:val="21"/>
          <w:lang w:eastAsia="ru-RU"/>
        </w:rPr>
        <w:t xml:space="preserve">в собственность </w:t>
      </w:r>
      <w:r>
        <w:rPr>
          <w:iCs/>
          <w:color w:val="000000"/>
          <w:sz w:val="21"/>
          <w:szCs w:val="21"/>
          <w:lang w:eastAsia="ru-RU"/>
        </w:rPr>
        <w:t>соответствующий Объект долевого строительства УЧАСТНИКУ, а последний обязуется уплатить обусловленную настоящим Договором Цену и при наличии Разрешения на ввод в эксплуатацию Многоквартирного дома принять Объект.</w:t>
      </w:r>
    </w:p>
    <w:p w14:paraId="6000A804">
      <w:pPr>
        <w:widowControl/>
        <w:tabs>
          <w:tab w:val="left" w:pos="709"/>
        </w:tabs>
        <w:suppressAutoHyphens w:val="0"/>
        <w:spacing w:after="120" w:line="240" w:lineRule="auto"/>
        <w:ind w:firstLine="567"/>
        <w:jc w:val="both"/>
        <w:rPr>
          <w:iCs/>
          <w:color w:val="000000"/>
          <w:sz w:val="21"/>
          <w:szCs w:val="21"/>
          <w:lang w:eastAsia="ru-RU"/>
        </w:rPr>
      </w:pPr>
      <w:r>
        <w:rPr>
          <w:iCs/>
          <w:color w:val="000000"/>
          <w:sz w:val="21"/>
          <w:szCs w:val="21"/>
          <w:lang w:eastAsia="ru-RU"/>
        </w:rPr>
        <w:t>3.2.</w:t>
      </w:r>
      <w:r>
        <w:rPr>
          <w:b/>
          <w:bCs/>
          <w:iCs/>
          <w:color w:val="000000"/>
          <w:sz w:val="21"/>
          <w:szCs w:val="21"/>
          <w:lang w:eastAsia="ru-RU"/>
        </w:rPr>
        <w:t xml:space="preserve"> Объект долевого строительства</w:t>
      </w:r>
      <w:r>
        <w:rPr>
          <w:iCs/>
          <w:color w:val="000000"/>
          <w:sz w:val="21"/>
          <w:szCs w:val="21"/>
          <w:lang w:eastAsia="ru-RU"/>
        </w:rPr>
        <w:t>:</w:t>
      </w:r>
    </w:p>
    <w:tbl>
      <w:tblPr>
        <w:tblStyle w:val="3"/>
        <w:tblW w:w="9781" w:type="dxa"/>
        <w:tblInd w:w="235"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autofit"/>
        <w:tblCellMar>
          <w:top w:w="0" w:type="dxa"/>
          <w:left w:w="93" w:type="dxa"/>
          <w:bottom w:w="0" w:type="dxa"/>
          <w:right w:w="108" w:type="dxa"/>
        </w:tblCellMar>
      </w:tblPr>
      <w:tblGrid>
        <w:gridCol w:w="6281"/>
        <w:gridCol w:w="3500"/>
      </w:tblGrid>
      <w:tr w14:paraId="358FAF1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0E2BDE7A">
            <w:pPr>
              <w:spacing w:line="240" w:lineRule="auto"/>
              <w:ind w:right="78" w:firstLine="0"/>
              <w:jc w:val="both"/>
              <w:rPr>
                <w:sz w:val="21"/>
                <w:szCs w:val="21"/>
              </w:rPr>
            </w:pPr>
            <w:r>
              <w:rPr>
                <w:sz w:val="21"/>
                <w:szCs w:val="21"/>
              </w:rPr>
              <w:t>Условный номер в соответствии с Проектной декларацией</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4402AC10">
            <w:pPr>
              <w:spacing w:line="240" w:lineRule="auto"/>
              <w:ind w:right="-143" w:firstLine="0"/>
              <w:jc w:val="both"/>
              <w:rPr>
                <w:sz w:val="21"/>
                <w:szCs w:val="21"/>
              </w:rPr>
            </w:pPr>
          </w:p>
        </w:tc>
      </w:tr>
      <w:tr w14:paraId="3756021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20A6C23E">
            <w:pPr>
              <w:spacing w:line="240" w:lineRule="auto"/>
              <w:ind w:right="78" w:firstLine="0"/>
              <w:jc w:val="both"/>
              <w:rPr>
                <w:sz w:val="21"/>
                <w:szCs w:val="21"/>
              </w:rPr>
            </w:pPr>
            <w:r>
              <w:rPr>
                <w:sz w:val="21"/>
                <w:szCs w:val="21"/>
              </w:rPr>
              <w:t>Подъезд</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38768EEE">
            <w:pPr>
              <w:spacing w:line="240" w:lineRule="auto"/>
              <w:ind w:right="-143" w:firstLine="0"/>
              <w:jc w:val="both"/>
              <w:rPr>
                <w:sz w:val="21"/>
                <w:szCs w:val="21"/>
                <w:highlight w:val="yellow"/>
              </w:rPr>
            </w:pPr>
          </w:p>
        </w:tc>
      </w:tr>
      <w:tr w14:paraId="0126BBC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43BDD11">
            <w:pPr>
              <w:spacing w:line="240" w:lineRule="auto"/>
              <w:ind w:right="78" w:firstLine="0"/>
              <w:jc w:val="both"/>
              <w:rPr>
                <w:sz w:val="21"/>
                <w:szCs w:val="21"/>
              </w:rPr>
            </w:pPr>
            <w:r>
              <w:rPr>
                <w:sz w:val="21"/>
                <w:szCs w:val="21"/>
              </w:rPr>
              <w:t xml:space="preserve">Этаж </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79CB05D">
            <w:pPr>
              <w:spacing w:line="240" w:lineRule="auto"/>
              <w:ind w:right="-143" w:firstLine="0"/>
              <w:jc w:val="both"/>
              <w:rPr>
                <w:sz w:val="21"/>
                <w:szCs w:val="21"/>
                <w:highlight w:val="yellow"/>
              </w:rPr>
            </w:pPr>
          </w:p>
        </w:tc>
      </w:tr>
      <w:tr w14:paraId="734C116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5940C90A">
            <w:pPr>
              <w:spacing w:line="240" w:lineRule="auto"/>
              <w:ind w:right="78" w:firstLine="0"/>
              <w:jc w:val="both"/>
              <w:rPr>
                <w:sz w:val="21"/>
                <w:szCs w:val="21"/>
              </w:rPr>
            </w:pPr>
            <w:r>
              <w:rPr>
                <w:sz w:val="21"/>
                <w:szCs w:val="21"/>
              </w:rPr>
              <w:t>Количество жилых комнат</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256D75C7">
            <w:pPr>
              <w:spacing w:line="240" w:lineRule="auto"/>
              <w:ind w:right="-143" w:firstLine="0"/>
              <w:jc w:val="both"/>
              <w:rPr>
                <w:sz w:val="21"/>
                <w:szCs w:val="21"/>
                <w:highlight w:val="yellow"/>
              </w:rPr>
            </w:pPr>
          </w:p>
        </w:tc>
      </w:tr>
      <w:tr w14:paraId="7F531FA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77CC5019">
            <w:pPr>
              <w:spacing w:line="240" w:lineRule="auto"/>
              <w:ind w:right="78" w:firstLine="0"/>
              <w:jc w:val="both"/>
              <w:rPr>
                <w:sz w:val="21"/>
                <w:szCs w:val="21"/>
              </w:rPr>
            </w:pPr>
            <w:r>
              <w:rPr>
                <w:sz w:val="21"/>
                <w:szCs w:val="21"/>
              </w:rPr>
              <w:t>Условный номер комнаты (комнат) и площадь каждой комнаты, кв.м.</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7429B6B4">
            <w:pPr>
              <w:spacing w:line="240" w:lineRule="auto"/>
              <w:ind w:right="-143" w:firstLine="0"/>
              <w:jc w:val="both"/>
              <w:rPr>
                <w:sz w:val="21"/>
                <w:szCs w:val="21"/>
                <w:highlight w:val="yellow"/>
              </w:rPr>
            </w:pPr>
          </w:p>
        </w:tc>
      </w:tr>
      <w:tr w14:paraId="67B4F2D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4DF5C956">
            <w:pPr>
              <w:spacing w:line="240" w:lineRule="auto"/>
              <w:ind w:right="78" w:firstLine="0"/>
              <w:jc w:val="both"/>
              <w:rPr>
                <w:sz w:val="21"/>
                <w:szCs w:val="21"/>
              </w:rPr>
            </w:pPr>
            <w:r>
              <w:rPr>
                <w:sz w:val="21"/>
                <w:szCs w:val="21"/>
              </w:rPr>
              <w:t xml:space="preserve">Проектная </w:t>
            </w:r>
            <w:r>
              <w:rPr>
                <w:color w:val="auto"/>
                <w:sz w:val="21"/>
                <w:szCs w:val="21"/>
              </w:rPr>
              <w:t xml:space="preserve">общая приведенная </w:t>
            </w:r>
            <w:r>
              <w:rPr>
                <w:sz w:val="21"/>
                <w:szCs w:val="21"/>
              </w:rPr>
              <w:t>площадь Объекта, кв.м.</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939C12E">
            <w:pPr>
              <w:spacing w:line="240" w:lineRule="auto"/>
              <w:ind w:right="-143" w:firstLine="0"/>
              <w:jc w:val="both"/>
              <w:rPr>
                <w:sz w:val="21"/>
                <w:szCs w:val="21"/>
                <w:highlight w:val="yellow"/>
              </w:rPr>
            </w:pPr>
          </w:p>
        </w:tc>
      </w:tr>
      <w:tr w14:paraId="7B78FD1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45FF5D0C">
            <w:pPr>
              <w:spacing w:line="240" w:lineRule="auto"/>
              <w:ind w:right="78" w:firstLine="0"/>
              <w:jc w:val="both"/>
              <w:rPr>
                <w:sz w:val="21"/>
                <w:szCs w:val="21"/>
              </w:rPr>
            </w:pPr>
            <w:r>
              <w:rPr>
                <w:sz w:val="21"/>
                <w:szCs w:val="21"/>
              </w:rPr>
              <w:t>Общая площадь, м</w:t>
            </w:r>
            <w:r>
              <w:rPr>
                <w:sz w:val="21"/>
                <w:szCs w:val="21"/>
                <w:vertAlign w:val="superscript"/>
              </w:rPr>
              <w:t>2</w:t>
            </w:r>
            <w:r>
              <w:rPr>
                <w:sz w:val="21"/>
                <w:szCs w:val="21"/>
              </w:rPr>
              <w:t>(ч.5 ст. 15 ЖК РФ)</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70A16A54">
            <w:pPr>
              <w:spacing w:line="240" w:lineRule="auto"/>
              <w:ind w:right="-143" w:firstLine="0"/>
              <w:jc w:val="both"/>
              <w:rPr>
                <w:sz w:val="21"/>
                <w:szCs w:val="21"/>
                <w:highlight w:val="yellow"/>
              </w:rPr>
            </w:pPr>
          </w:p>
        </w:tc>
      </w:tr>
      <w:tr w14:paraId="5CA54EA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3F27C86">
            <w:pPr>
              <w:spacing w:line="240" w:lineRule="auto"/>
              <w:ind w:right="78" w:firstLine="0"/>
              <w:jc w:val="both"/>
              <w:rPr>
                <w:sz w:val="21"/>
                <w:szCs w:val="21"/>
              </w:rPr>
            </w:pPr>
            <w:r>
              <w:rPr>
                <w:sz w:val="21"/>
                <w:szCs w:val="21"/>
              </w:rPr>
              <w:t>Количество и площадь помещений вспомогательного использования, кв.м.</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89FFC77">
            <w:pPr>
              <w:spacing w:line="240" w:lineRule="auto"/>
              <w:ind w:right="-143" w:firstLine="0"/>
              <w:jc w:val="both"/>
              <w:rPr>
                <w:sz w:val="21"/>
                <w:szCs w:val="21"/>
              </w:rPr>
            </w:pPr>
          </w:p>
        </w:tc>
      </w:tr>
      <w:tr w14:paraId="203137E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4CC63175">
            <w:pPr>
              <w:spacing w:line="240" w:lineRule="auto"/>
              <w:ind w:right="78" w:firstLine="0"/>
              <w:jc w:val="both"/>
              <w:rPr>
                <w:sz w:val="21"/>
                <w:szCs w:val="21"/>
              </w:rPr>
            </w:pPr>
            <w:r>
              <w:rPr>
                <w:sz w:val="21"/>
                <w:szCs w:val="21"/>
              </w:rPr>
              <w:t>Количество лоджий</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A642D78">
            <w:pPr>
              <w:spacing w:line="240" w:lineRule="auto"/>
              <w:ind w:right="-143" w:firstLine="0"/>
              <w:jc w:val="both"/>
              <w:rPr>
                <w:sz w:val="21"/>
                <w:szCs w:val="21"/>
              </w:rPr>
            </w:pPr>
            <w:bookmarkStart w:id="19" w:name="_GoBack"/>
            <w:bookmarkEnd w:id="19"/>
          </w:p>
        </w:tc>
      </w:tr>
      <w:tr w14:paraId="7C76555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1B3959B4">
            <w:pPr>
              <w:spacing w:line="240" w:lineRule="auto"/>
              <w:ind w:right="78" w:firstLine="0"/>
              <w:jc w:val="both"/>
              <w:rPr>
                <w:sz w:val="21"/>
                <w:szCs w:val="21"/>
              </w:rPr>
            </w:pPr>
            <w:r>
              <w:rPr>
                <w:sz w:val="21"/>
                <w:szCs w:val="21"/>
              </w:rPr>
              <w:t>Площадь каждой лоджии, кв.м. (с коэффициентом 0,5)</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02331341">
            <w:pPr>
              <w:spacing w:line="240" w:lineRule="auto"/>
              <w:ind w:right="-143" w:firstLine="0"/>
              <w:jc w:val="both"/>
              <w:rPr>
                <w:sz w:val="21"/>
                <w:szCs w:val="21"/>
              </w:rPr>
            </w:pPr>
          </w:p>
        </w:tc>
      </w:tr>
      <w:tr w14:paraId="71AECCD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62B3E0D0">
            <w:pPr>
              <w:spacing w:line="240" w:lineRule="auto"/>
              <w:ind w:right="78" w:firstLine="0"/>
              <w:jc w:val="both"/>
              <w:rPr>
                <w:sz w:val="21"/>
                <w:szCs w:val="21"/>
              </w:rPr>
            </w:pPr>
            <w:r>
              <w:rPr>
                <w:sz w:val="21"/>
                <w:szCs w:val="21"/>
              </w:rPr>
              <w:t>Количество балконов</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29C47AFC">
            <w:pPr>
              <w:spacing w:line="240" w:lineRule="auto"/>
              <w:ind w:right="-143" w:firstLine="0"/>
              <w:jc w:val="both"/>
              <w:rPr>
                <w:sz w:val="21"/>
                <w:szCs w:val="21"/>
              </w:rPr>
            </w:pPr>
            <w:r>
              <w:rPr>
                <w:sz w:val="21"/>
                <w:szCs w:val="21"/>
              </w:rPr>
              <w:t>-</w:t>
            </w:r>
          </w:p>
        </w:tc>
      </w:tr>
      <w:tr w14:paraId="3BCCB2EE">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93" w:type="dxa"/>
            <w:bottom w:w="0" w:type="dxa"/>
            <w:right w:w="108" w:type="dxa"/>
          </w:tblCellMar>
        </w:tblPrEx>
        <w:tc>
          <w:tcPr>
            <w:tcW w:w="6281"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59F55641">
            <w:pPr>
              <w:spacing w:line="240" w:lineRule="auto"/>
              <w:ind w:right="78" w:firstLine="0"/>
              <w:jc w:val="both"/>
              <w:rPr>
                <w:sz w:val="21"/>
                <w:szCs w:val="21"/>
              </w:rPr>
            </w:pPr>
            <w:r>
              <w:rPr>
                <w:sz w:val="21"/>
                <w:szCs w:val="21"/>
              </w:rPr>
              <w:t>Площадь каждого балкона, кв.м.</w:t>
            </w:r>
            <w:r>
              <w:rPr>
                <w:sz w:val="21"/>
                <w:szCs w:val="21"/>
                <w:vertAlign w:val="superscript"/>
              </w:rPr>
              <w:t xml:space="preserve"> </w:t>
            </w:r>
            <w:r>
              <w:rPr>
                <w:sz w:val="21"/>
                <w:szCs w:val="21"/>
              </w:rPr>
              <w:t>(с коэффициентом 0,3)</w:t>
            </w:r>
          </w:p>
        </w:tc>
        <w:tc>
          <w:tcPr>
            <w:tcW w:w="3500" w:type="dxa"/>
            <w:tcBorders>
              <w:top w:val="single" w:color="00000A" w:sz="4" w:space="0"/>
              <w:left w:val="single" w:color="00000A" w:sz="4" w:space="0"/>
              <w:bottom w:val="single" w:color="00000A" w:sz="4" w:space="0"/>
              <w:right w:val="single" w:color="00000A" w:sz="4" w:space="0"/>
            </w:tcBorders>
            <w:shd w:val="clear" w:color="auto" w:fill="auto"/>
            <w:tcMar>
              <w:left w:w="93" w:type="dxa"/>
            </w:tcMar>
          </w:tcPr>
          <w:p w14:paraId="33FAE916">
            <w:pPr>
              <w:spacing w:line="240" w:lineRule="auto"/>
              <w:ind w:right="-143" w:firstLine="0"/>
              <w:jc w:val="both"/>
              <w:rPr>
                <w:sz w:val="21"/>
                <w:szCs w:val="21"/>
              </w:rPr>
            </w:pPr>
            <w:r>
              <w:rPr>
                <w:sz w:val="21"/>
                <w:szCs w:val="21"/>
              </w:rPr>
              <w:t>-</w:t>
            </w:r>
          </w:p>
        </w:tc>
      </w:tr>
    </w:tbl>
    <w:p w14:paraId="6AE32AD1">
      <w:pPr>
        <w:spacing w:line="240" w:lineRule="auto"/>
        <w:ind w:right="-143" w:firstLine="567"/>
        <w:jc w:val="both"/>
        <w:rPr>
          <w:sz w:val="21"/>
          <w:szCs w:val="21"/>
        </w:rPr>
      </w:pPr>
    </w:p>
    <w:p w14:paraId="6827C279">
      <w:pPr>
        <w:spacing w:line="240" w:lineRule="auto"/>
        <w:ind w:right="-143" w:firstLine="567"/>
        <w:jc w:val="both"/>
        <w:rPr>
          <w:sz w:val="21"/>
          <w:szCs w:val="21"/>
        </w:rPr>
      </w:pPr>
      <w:r>
        <w:rPr>
          <w:sz w:val="21"/>
          <w:szCs w:val="21"/>
        </w:rPr>
        <w:t xml:space="preserve">Местоположение Объекта </w:t>
      </w:r>
      <w:bookmarkStart w:id="7" w:name="_Hlk222483104"/>
      <w:r>
        <w:rPr>
          <w:sz w:val="21"/>
          <w:szCs w:val="21"/>
        </w:rPr>
        <w:t xml:space="preserve">долевого строительства </w:t>
      </w:r>
      <w:bookmarkEnd w:id="7"/>
      <w:r>
        <w:rPr>
          <w:sz w:val="21"/>
          <w:szCs w:val="21"/>
        </w:rPr>
        <w:t xml:space="preserve">на плане этажа Многоквартирного дома определяется в Приложении № 1 к Договору. Полное описание Объекта долевого строительства приведено в Приложении № 2 к настоящему договору. </w:t>
      </w:r>
    </w:p>
    <w:p w14:paraId="23A5D238">
      <w:pPr>
        <w:widowControl/>
        <w:tabs>
          <w:tab w:val="left" w:pos="709"/>
        </w:tabs>
        <w:suppressAutoHyphens w:val="0"/>
        <w:spacing w:line="240" w:lineRule="auto"/>
        <w:ind w:firstLine="567"/>
        <w:jc w:val="both"/>
        <w:rPr>
          <w:color w:val="000000"/>
          <w:sz w:val="21"/>
          <w:szCs w:val="21"/>
          <w:lang w:eastAsia="ru-RU"/>
        </w:rPr>
      </w:pPr>
      <w:r>
        <w:rPr>
          <w:color w:val="000000"/>
          <w:sz w:val="21"/>
          <w:szCs w:val="21"/>
          <w:lang w:eastAsia="ru-RU"/>
        </w:rPr>
        <w:t xml:space="preserve">3.3. Все характеристики Объекта являются проектными. </w:t>
      </w:r>
    </w:p>
    <w:p w14:paraId="2B7E8543">
      <w:pPr>
        <w:widowControl/>
        <w:tabs>
          <w:tab w:val="left" w:pos="709"/>
        </w:tabs>
        <w:suppressAutoHyphens w:val="0"/>
        <w:spacing w:line="240" w:lineRule="auto"/>
        <w:ind w:firstLine="567"/>
        <w:jc w:val="both"/>
        <w:rPr>
          <w:color w:val="000000"/>
          <w:sz w:val="21"/>
          <w:szCs w:val="21"/>
          <w:lang w:eastAsia="ru-RU"/>
        </w:rPr>
      </w:pPr>
      <w:r>
        <w:rPr>
          <w:color w:val="000000"/>
          <w:sz w:val="21"/>
          <w:szCs w:val="21"/>
          <w:lang w:eastAsia="ru-RU"/>
        </w:rPr>
        <w:t>Фактические характеристики Объекта определяются на основании данных, полученных после обмеров завершенного строительством Многоквартирного дома лицом, оказывающим услуги в сфере технической инвентаризации и/или кадастрового учета. Объекту присваивается фактический номер.</w:t>
      </w:r>
    </w:p>
    <w:p w14:paraId="2FCB29CB">
      <w:pPr>
        <w:widowControl/>
        <w:tabs>
          <w:tab w:val="left" w:pos="709"/>
        </w:tabs>
        <w:suppressAutoHyphens w:val="0"/>
        <w:spacing w:line="240" w:lineRule="auto"/>
        <w:ind w:firstLine="567"/>
        <w:jc w:val="both"/>
        <w:rPr>
          <w:color w:val="000000"/>
          <w:sz w:val="21"/>
          <w:szCs w:val="21"/>
          <w:lang w:eastAsia="ru-RU"/>
        </w:rPr>
      </w:pPr>
      <w:r>
        <w:rPr>
          <w:color w:val="000000"/>
          <w:sz w:val="21"/>
          <w:szCs w:val="21"/>
          <w:lang w:eastAsia="ru-RU"/>
        </w:rPr>
        <w:t>3.4. Право на оформление в собственность Объекта возникает у УЧАСТНИКА после ввода Многоквартирного дома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200F0B0B">
      <w:pPr>
        <w:widowControl/>
        <w:tabs>
          <w:tab w:val="left" w:pos="709"/>
        </w:tabs>
        <w:suppressAutoHyphens w:val="0"/>
        <w:spacing w:line="240" w:lineRule="auto"/>
        <w:ind w:firstLine="567"/>
        <w:jc w:val="both"/>
        <w:rPr>
          <w:color w:val="000000"/>
          <w:sz w:val="21"/>
          <w:szCs w:val="21"/>
          <w:lang w:eastAsia="ru-RU"/>
        </w:rPr>
      </w:pPr>
      <w:r>
        <w:rPr>
          <w:color w:val="000000"/>
          <w:sz w:val="21"/>
          <w:szCs w:val="21"/>
          <w:lang w:eastAsia="ru-RU"/>
        </w:rPr>
        <w:t>3.5. 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16C9DFB9">
      <w:pPr>
        <w:spacing w:line="240" w:lineRule="auto"/>
        <w:ind w:right="-143" w:firstLine="567"/>
        <w:jc w:val="both"/>
        <w:rPr>
          <w:sz w:val="21"/>
          <w:szCs w:val="21"/>
        </w:rPr>
      </w:pPr>
    </w:p>
    <w:p w14:paraId="50543717">
      <w:pPr>
        <w:spacing w:line="240" w:lineRule="auto"/>
        <w:ind w:right="-143" w:firstLine="567"/>
        <w:jc w:val="both"/>
        <w:rPr>
          <w:sz w:val="21"/>
          <w:szCs w:val="21"/>
        </w:rPr>
      </w:pPr>
    </w:p>
    <w:p w14:paraId="27EF2817">
      <w:pPr>
        <w:spacing w:line="240" w:lineRule="auto"/>
        <w:ind w:right="-143" w:firstLine="0"/>
        <w:jc w:val="center"/>
        <w:rPr>
          <w:sz w:val="21"/>
          <w:szCs w:val="21"/>
        </w:rPr>
      </w:pPr>
      <w:r>
        <w:rPr>
          <w:b/>
          <w:sz w:val="21"/>
          <w:szCs w:val="21"/>
        </w:rPr>
        <w:t>4.ЦЕНА ДОГОВОРА УЧАСТИЯ В ДОЛЕВОМ СТРОИТЕЛЬСТВЕ, ПОРЯДОК ОПЛАТЫ</w:t>
      </w:r>
    </w:p>
    <w:p w14:paraId="1CE1BD7E">
      <w:pPr>
        <w:spacing w:line="240" w:lineRule="auto"/>
        <w:ind w:right="-143" w:firstLine="709"/>
        <w:jc w:val="center"/>
        <w:rPr>
          <w:b/>
          <w:sz w:val="21"/>
          <w:szCs w:val="21"/>
        </w:rPr>
      </w:pPr>
    </w:p>
    <w:p w14:paraId="12EE7D3B">
      <w:pPr>
        <w:spacing w:line="240" w:lineRule="auto"/>
        <w:ind w:right="-143" w:firstLine="709"/>
        <w:jc w:val="both"/>
        <w:rPr>
          <w:sz w:val="21"/>
          <w:szCs w:val="21"/>
        </w:rPr>
      </w:pPr>
      <w:r>
        <w:rPr>
          <w:sz w:val="21"/>
          <w:szCs w:val="21"/>
        </w:rPr>
        <w:t xml:space="preserve">4.1. Цена настоящего Договора – размер денежных средств, подлежащих уплате </w:t>
      </w:r>
      <w:r>
        <w:rPr>
          <w:b/>
          <w:sz w:val="21"/>
          <w:szCs w:val="21"/>
        </w:rPr>
        <w:t>УЧАСТНИКОМ</w:t>
      </w:r>
      <w:r>
        <w:rPr>
          <w:sz w:val="21"/>
          <w:szCs w:val="21"/>
        </w:rPr>
        <w:t>.</w:t>
      </w:r>
    </w:p>
    <w:p w14:paraId="3F518BB5">
      <w:pPr>
        <w:spacing w:line="240" w:lineRule="auto"/>
        <w:ind w:right="-143" w:firstLine="709"/>
        <w:jc w:val="both"/>
        <w:rPr>
          <w:sz w:val="21"/>
          <w:szCs w:val="21"/>
        </w:rPr>
      </w:pPr>
      <w:r>
        <w:rPr>
          <w:sz w:val="21"/>
          <w:szCs w:val="21"/>
        </w:rPr>
        <w:t xml:space="preserve">4.2. </w:t>
      </w:r>
      <w:r>
        <w:rPr>
          <w:b/>
          <w:sz w:val="21"/>
          <w:szCs w:val="21"/>
        </w:rPr>
        <w:t>УЧАСТНИК</w:t>
      </w:r>
      <w:r>
        <w:rPr>
          <w:sz w:val="21"/>
          <w:szCs w:val="21"/>
        </w:rPr>
        <w:t xml:space="preserve"> обязуется оплатить цену Договора, которая на момент заключения настоящего Договора составляет </w:t>
      </w:r>
      <w:r>
        <w:rPr>
          <w:rFonts w:hint="default"/>
          <w:b/>
          <w:sz w:val="21"/>
          <w:szCs w:val="21"/>
          <w:lang w:val="ru-RU"/>
        </w:rPr>
        <w:t xml:space="preserve">     </w:t>
      </w:r>
      <w:r>
        <w:rPr>
          <w:b/>
          <w:sz w:val="21"/>
          <w:szCs w:val="21"/>
        </w:rPr>
        <w:t xml:space="preserve"> рублей</w:t>
      </w:r>
      <w:r>
        <w:rPr>
          <w:b/>
          <w:color w:val="auto"/>
          <w:sz w:val="21"/>
          <w:szCs w:val="21"/>
        </w:rPr>
        <w:t xml:space="preserve"> 00 копеек</w:t>
      </w:r>
      <w:r>
        <w:rPr>
          <w:color w:val="auto"/>
          <w:sz w:val="21"/>
          <w:szCs w:val="21"/>
        </w:rPr>
        <w:t xml:space="preserve">, из расчёта стоимости одного квадратного метра приведённой площади </w:t>
      </w:r>
      <w:r>
        <w:rPr>
          <w:rFonts w:hint="default"/>
          <w:b/>
          <w:color w:val="auto"/>
          <w:sz w:val="21"/>
          <w:szCs w:val="21"/>
          <w:lang w:val="ru-RU"/>
        </w:rPr>
        <w:t xml:space="preserve">      </w:t>
      </w:r>
      <w:r>
        <w:rPr>
          <w:b/>
          <w:color w:val="auto"/>
          <w:sz w:val="21"/>
          <w:szCs w:val="21"/>
        </w:rPr>
        <w:t xml:space="preserve">рублей 00 коп. </w:t>
      </w:r>
      <w:r>
        <w:rPr>
          <w:sz w:val="21"/>
          <w:szCs w:val="21"/>
        </w:rPr>
        <w:t>Стоимость одного квадратного метра площади Объекта, определенная в настоящем пункте, является фиксированной и изменению не подлежит.</w:t>
      </w:r>
      <w:bookmarkStart w:id="8" w:name="_Hlk217903597"/>
      <w:r>
        <w:rPr>
          <w:sz w:val="21"/>
          <w:szCs w:val="21"/>
        </w:rPr>
        <w:t xml:space="preserve"> Цена настоящего Договора подлежит изменению в случае, предусмотренном п. 4.5. настоящего Договора.</w:t>
      </w:r>
      <w:bookmarkEnd w:id="8"/>
    </w:p>
    <w:p w14:paraId="1DC33096">
      <w:pPr>
        <w:spacing w:line="0" w:lineRule="atLeast"/>
        <w:ind w:right="-143" w:firstLine="708"/>
        <w:jc w:val="both"/>
        <w:rPr>
          <w:color w:val="auto"/>
          <w:sz w:val="21"/>
          <w:szCs w:val="21"/>
        </w:rPr>
      </w:pPr>
      <w:r>
        <w:rPr>
          <w:color w:val="auto"/>
          <w:sz w:val="21"/>
          <w:szCs w:val="21"/>
        </w:rPr>
        <w:t xml:space="preserve">4.3. За счет собственных средств </w:t>
      </w:r>
      <w:r>
        <w:rPr>
          <w:b/>
          <w:color w:val="auto"/>
          <w:sz w:val="21"/>
          <w:szCs w:val="21"/>
        </w:rPr>
        <w:t>ДОЛЬЩИК</w:t>
      </w:r>
      <w:r>
        <w:rPr>
          <w:color w:val="auto"/>
          <w:sz w:val="21"/>
          <w:szCs w:val="21"/>
        </w:rPr>
        <w:t xml:space="preserve"> оплачивает сумму в размере </w:t>
      </w:r>
      <w:r>
        <w:rPr>
          <w:rFonts w:hint="default"/>
          <w:b/>
          <w:sz w:val="21"/>
          <w:szCs w:val="21"/>
          <w:lang w:val="ru-RU"/>
        </w:rPr>
        <w:t xml:space="preserve">      </w:t>
      </w:r>
      <w:r>
        <w:rPr>
          <w:color w:val="auto"/>
          <w:sz w:val="21"/>
          <w:szCs w:val="21"/>
        </w:rPr>
        <w:t xml:space="preserve"> – не позднее 5 (Пяти) банковских дней с даты государственной регистрации настоящего Договора;</w:t>
      </w:r>
    </w:p>
    <w:p w14:paraId="73974A15">
      <w:pPr>
        <w:spacing w:line="240" w:lineRule="auto"/>
        <w:ind w:right="-143" w:firstLine="709"/>
        <w:jc w:val="both"/>
        <w:rPr>
          <w:color w:val="auto"/>
          <w:sz w:val="21"/>
          <w:szCs w:val="21"/>
          <w:lang w:eastAsia="ru-RU"/>
        </w:rPr>
      </w:pPr>
      <w:r>
        <w:rPr>
          <w:color w:val="auto"/>
          <w:sz w:val="21"/>
          <w:szCs w:val="21"/>
          <w:lang w:eastAsia="ru-RU"/>
        </w:rPr>
        <w:t xml:space="preserve">Денежные средства будут перечислены на открытый в уполномоченном банке (далее –«Уполномоченный банк») (эскроу-агент) счет эскроу, при условии государственной регистрации настоящего Договора. </w:t>
      </w:r>
      <w:r>
        <w:rPr>
          <w:b/>
          <w:color w:val="auto"/>
          <w:sz w:val="21"/>
          <w:szCs w:val="21"/>
          <w:lang w:eastAsia="ru-RU"/>
        </w:rPr>
        <w:t>ЗАСТРОЙЩИК</w:t>
      </w:r>
      <w:r>
        <w:rPr>
          <w:color w:val="auto"/>
          <w:sz w:val="21"/>
          <w:szCs w:val="21"/>
          <w:lang w:eastAsia="ru-RU"/>
        </w:rPr>
        <w:t xml:space="preserve">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0E0209EF">
      <w:pPr>
        <w:spacing w:line="240" w:lineRule="auto"/>
        <w:ind w:right="-143" w:firstLine="709"/>
        <w:jc w:val="both"/>
        <w:rPr>
          <w:rFonts w:eastAsia="Calibri"/>
          <w:sz w:val="21"/>
          <w:szCs w:val="21"/>
          <w:lang w:eastAsia="ru-RU"/>
        </w:rPr>
      </w:pPr>
      <w:r>
        <w:rPr>
          <w:color w:val="FF0000"/>
          <w:sz w:val="21"/>
          <w:szCs w:val="21"/>
          <w:lang w:eastAsia="ru-RU"/>
        </w:rPr>
        <w:t xml:space="preserve"> </w:t>
      </w:r>
      <w:r>
        <w:rPr>
          <w:color w:val="auto"/>
          <w:sz w:val="21"/>
          <w:szCs w:val="21"/>
          <w:lang w:eastAsia="ru-RU"/>
        </w:rPr>
        <w:t>Оплата по настоящему Договору участия в долевом строительстве производится в порядке,</w:t>
      </w:r>
      <w:r>
        <w:rPr>
          <w:color w:val="auto"/>
          <w:sz w:val="21"/>
          <w:szCs w:val="21"/>
          <w:lang w:eastAsia="ru-RU"/>
        </w:rPr>
        <w:br w:type="textWrapping"/>
      </w:r>
      <w:r>
        <w:rPr>
          <w:color w:val="auto"/>
          <w:sz w:val="21"/>
          <w:szCs w:val="21"/>
          <w:lang w:eastAsia="ru-RU"/>
        </w:rPr>
        <w:t>установленном статьей 15.4 Федерального закона от 30 декабря 2004г. N 214-ФЗ «Об участии в</w:t>
      </w:r>
      <w:r>
        <w:rPr>
          <w:color w:val="auto"/>
          <w:sz w:val="21"/>
          <w:szCs w:val="21"/>
          <w:lang w:eastAsia="ru-RU"/>
        </w:rPr>
        <w:br w:type="textWrapping"/>
      </w:r>
      <w:r>
        <w:rPr>
          <w:color w:val="auto"/>
          <w:sz w:val="21"/>
          <w:szCs w:val="21"/>
          <w:lang w:eastAsia="ru-RU"/>
        </w:rPr>
        <w:t>долевом строительстве многоквартирных домов и иных объектов недвижимости».</w:t>
      </w:r>
      <w:r>
        <w:rPr>
          <w:color w:val="auto"/>
          <w:sz w:val="21"/>
          <w:szCs w:val="21"/>
          <w:lang w:eastAsia="ru-RU"/>
        </w:rPr>
        <w:br w:type="textWrapping"/>
      </w:r>
      <w:r>
        <w:rPr>
          <w:color w:val="auto"/>
          <w:sz w:val="21"/>
          <w:szCs w:val="21"/>
          <w:lang w:eastAsia="ru-RU"/>
        </w:rPr>
        <w:t xml:space="preserve">Обязанность </w:t>
      </w:r>
      <w:r>
        <w:rPr>
          <w:b/>
          <w:color w:val="auto"/>
          <w:sz w:val="21"/>
          <w:szCs w:val="21"/>
          <w:lang w:eastAsia="ru-RU"/>
        </w:rPr>
        <w:t>ДОЛЬЩИКА</w:t>
      </w:r>
      <w:r>
        <w:rPr>
          <w:color w:val="auto"/>
          <w:sz w:val="21"/>
          <w:szCs w:val="21"/>
          <w:lang w:eastAsia="ru-RU"/>
        </w:rPr>
        <w:t xml:space="preserve"> по уплате цены настоящего Договора считается исполненной с</w:t>
      </w:r>
      <w:r>
        <w:rPr>
          <w:color w:val="auto"/>
          <w:sz w:val="21"/>
          <w:szCs w:val="21"/>
          <w:lang w:eastAsia="ru-RU"/>
        </w:rPr>
        <w:br w:type="textWrapping"/>
      </w:r>
      <w:r>
        <w:rPr>
          <w:color w:val="auto"/>
          <w:sz w:val="21"/>
          <w:szCs w:val="21"/>
          <w:lang w:eastAsia="ru-RU"/>
        </w:rPr>
        <w:t>момента поступления денежных средств на открытый в Уполномоченном банке счет эскроу.</w:t>
      </w:r>
      <w:r>
        <w:rPr>
          <w:color w:val="auto"/>
          <w:sz w:val="21"/>
          <w:szCs w:val="21"/>
          <w:lang w:eastAsia="ru-RU"/>
        </w:rPr>
        <w:br w:type="textWrapping"/>
      </w:r>
      <w:r>
        <w:rPr>
          <w:color w:val="auto"/>
          <w:sz w:val="21"/>
          <w:szCs w:val="21"/>
          <w:lang w:eastAsia="ru-RU"/>
        </w:rPr>
        <w:t>Денежные средства вносятся на срок условного депонирования денежных средств, который не</w:t>
      </w:r>
      <w:r>
        <w:rPr>
          <w:color w:val="auto"/>
          <w:sz w:val="21"/>
          <w:szCs w:val="21"/>
          <w:lang w:eastAsia="ru-RU"/>
        </w:rPr>
        <w:br w:type="textWrapping"/>
      </w:r>
      <w:r>
        <w:rPr>
          <w:color w:val="auto"/>
          <w:sz w:val="21"/>
          <w:szCs w:val="21"/>
          <w:lang w:eastAsia="ru-RU"/>
        </w:rPr>
        <w:t>может превышать более чем на 6 (шесть) месяцев срока ввода в эксплуатацию многоквартирного дома,</w:t>
      </w:r>
      <w:r>
        <w:rPr>
          <w:color w:val="auto"/>
          <w:sz w:val="21"/>
          <w:szCs w:val="21"/>
          <w:lang w:eastAsia="ru-RU"/>
        </w:rPr>
        <w:br w:type="textWrapping"/>
      </w:r>
      <w:r>
        <w:rPr>
          <w:color w:val="auto"/>
          <w:sz w:val="21"/>
          <w:szCs w:val="21"/>
          <w:lang w:eastAsia="ru-RU"/>
        </w:rPr>
        <w:t>указанный в п.5.1. настоящего Договора.</w:t>
      </w:r>
    </w:p>
    <w:p w14:paraId="7F43C480">
      <w:pPr>
        <w:ind w:right="-143"/>
        <w:jc w:val="both"/>
        <w:rPr>
          <w:sz w:val="21"/>
          <w:szCs w:val="21"/>
        </w:rPr>
      </w:pPr>
      <w:r>
        <w:rPr>
          <w:sz w:val="21"/>
          <w:szCs w:val="21"/>
          <w:lang w:eastAsia="ru-RU"/>
        </w:rPr>
        <w:t xml:space="preserve">В случае, если многоквартирный дом будет введен в эксплуатацию ранее срока внесения платежа, дальнейшая оплата по Договору </w:t>
      </w:r>
      <w:r>
        <w:rPr>
          <w:sz w:val="21"/>
          <w:szCs w:val="21"/>
        </w:rPr>
        <w:t xml:space="preserve">производится без использования счета эскроу, путем перечисления </w:t>
      </w:r>
      <w:r>
        <w:rPr>
          <w:b/>
          <w:bCs/>
          <w:sz w:val="21"/>
          <w:szCs w:val="21"/>
        </w:rPr>
        <w:t xml:space="preserve">ДОЛЬЩИКОМ </w:t>
      </w:r>
      <w:r>
        <w:rPr>
          <w:sz w:val="21"/>
          <w:szCs w:val="21"/>
        </w:rPr>
        <w:t xml:space="preserve">денежных средств на расчетный счет </w:t>
      </w:r>
      <w:r>
        <w:rPr>
          <w:b/>
          <w:bCs/>
          <w:sz w:val="21"/>
          <w:szCs w:val="21"/>
        </w:rPr>
        <w:t>ЗАСТРОЙЩИКА</w:t>
      </w:r>
      <w:r>
        <w:rPr>
          <w:sz w:val="21"/>
          <w:szCs w:val="21"/>
        </w:rPr>
        <w:t>, указанный в разделе 14.1. Договора.</w:t>
      </w:r>
    </w:p>
    <w:p w14:paraId="65D668EB">
      <w:pPr>
        <w:spacing w:line="240" w:lineRule="auto"/>
        <w:ind w:right="-143" w:firstLine="709"/>
        <w:jc w:val="both"/>
        <w:rPr>
          <w:sz w:val="21"/>
          <w:szCs w:val="21"/>
        </w:rPr>
      </w:pPr>
      <w:r>
        <w:rPr>
          <w:sz w:val="21"/>
          <w:szCs w:val="21"/>
        </w:rPr>
        <w:t xml:space="preserve">4.4. Заключая настоящий Договор участия в долевом строительстве (далее – Договор), </w:t>
      </w:r>
      <w:r>
        <w:rPr>
          <w:b/>
          <w:sz w:val="21"/>
          <w:szCs w:val="21"/>
        </w:rPr>
        <w:t>ЗАСТРОЙЩИК</w:t>
      </w:r>
      <w:r>
        <w:rPr>
          <w:sz w:val="21"/>
          <w:szCs w:val="21"/>
        </w:rPr>
        <w:t xml:space="preserve"> и </w:t>
      </w:r>
      <w:r>
        <w:rPr>
          <w:b/>
          <w:sz w:val="21"/>
          <w:szCs w:val="21"/>
        </w:rPr>
        <w:t>ДОЛЬЩИК</w:t>
      </w:r>
      <w:r>
        <w:rPr>
          <w:sz w:val="21"/>
          <w:szCs w:val="21"/>
        </w:rPr>
        <w:t xml:space="preserve"> предлагают ПАО «Совкомбанк» заключить Договор счета эскроу в соответствии с Общими условиями открытия и обслуживания счета эскроу, настоящим Договором на следующих условиях:</w:t>
      </w:r>
    </w:p>
    <w:p w14:paraId="6D83FA7A">
      <w:pPr>
        <w:spacing w:line="240" w:lineRule="auto"/>
        <w:ind w:right="-143" w:firstLine="0"/>
        <w:jc w:val="both"/>
        <w:rPr>
          <w:sz w:val="21"/>
          <w:szCs w:val="21"/>
        </w:rPr>
      </w:pPr>
      <w:r>
        <w:rPr>
          <w:sz w:val="21"/>
          <w:szCs w:val="21"/>
        </w:rPr>
        <w:t>- объект долевого строительства, подлежащий передаче Депоненту: Квартира - проектный номер 52.</w:t>
      </w:r>
    </w:p>
    <w:p w14:paraId="7B2D04DD">
      <w:pPr>
        <w:spacing w:line="240" w:lineRule="auto"/>
        <w:ind w:right="-143" w:firstLine="0"/>
        <w:jc w:val="both"/>
        <w:rPr>
          <w:sz w:val="21"/>
          <w:szCs w:val="21"/>
        </w:rPr>
      </w:pPr>
      <w:r>
        <w:rPr>
          <w:sz w:val="21"/>
          <w:szCs w:val="21"/>
        </w:rPr>
        <w:t xml:space="preserve">- депонируемая сумма, порядок ее формирования и срок внесения </w:t>
      </w:r>
      <w:r>
        <w:rPr>
          <w:rFonts w:hint="default"/>
          <w:b/>
          <w:sz w:val="21"/>
          <w:szCs w:val="21"/>
          <w:lang w:val="ru-RU"/>
        </w:rPr>
        <w:t xml:space="preserve">      </w:t>
      </w:r>
      <w:r>
        <w:rPr>
          <w:color w:val="auto"/>
          <w:sz w:val="21"/>
          <w:szCs w:val="21"/>
        </w:rPr>
        <w:t xml:space="preserve"> из расчета в соответствии с пунктом 4.2. Договора, </w:t>
      </w:r>
      <w:r>
        <w:rPr>
          <w:sz w:val="21"/>
          <w:szCs w:val="21"/>
        </w:rPr>
        <w:t>в срок, установленный п.4.3 Договора.</w:t>
      </w:r>
    </w:p>
    <w:p w14:paraId="09209DE1">
      <w:pPr>
        <w:spacing w:line="240" w:lineRule="auto"/>
        <w:ind w:right="-143" w:firstLine="0"/>
        <w:jc w:val="both"/>
        <w:rPr>
          <w:sz w:val="21"/>
          <w:szCs w:val="21"/>
        </w:rPr>
      </w:pPr>
      <w:r>
        <w:rPr>
          <w:sz w:val="21"/>
          <w:szCs w:val="21"/>
        </w:rPr>
        <w:t xml:space="preserve">- срок условного депонирования </w:t>
      </w:r>
      <w:r>
        <w:rPr>
          <w:color w:val="000000" w:themeColor="text1"/>
          <w:sz w:val="21"/>
          <w:szCs w:val="21"/>
          <w14:textFill>
            <w14:solidFill>
              <w14:schemeClr w14:val="tx1"/>
            </w14:solidFill>
          </w14:textFill>
        </w:rPr>
        <w:t>31 декабря 2027 г.</w:t>
      </w:r>
    </w:p>
    <w:p w14:paraId="43558380">
      <w:pPr>
        <w:spacing w:line="240" w:lineRule="auto"/>
        <w:ind w:right="-143" w:firstLine="0"/>
        <w:jc w:val="both"/>
        <w:rPr>
          <w:sz w:val="21"/>
          <w:szCs w:val="21"/>
        </w:rPr>
      </w:pPr>
      <w:r>
        <w:rPr>
          <w:sz w:val="21"/>
          <w:szCs w:val="21"/>
        </w:rPr>
        <w:t xml:space="preserve">- реквизиты для перечисления денежных средств со счета эскроу в пользу </w:t>
      </w:r>
      <w:r>
        <w:rPr>
          <w:b/>
          <w:sz w:val="21"/>
          <w:szCs w:val="21"/>
        </w:rPr>
        <w:t>Бенефициара</w:t>
      </w:r>
      <w:r>
        <w:rPr>
          <w:sz w:val="21"/>
          <w:szCs w:val="21"/>
        </w:rPr>
        <w:t>:</w:t>
      </w:r>
    </w:p>
    <w:p w14:paraId="42A29945">
      <w:pPr>
        <w:spacing w:line="0" w:lineRule="atLeast"/>
        <w:ind w:right="-143" w:firstLine="0"/>
        <w:jc w:val="both"/>
        <w:rPr>
          <w:sz w:val="21"/>
          <w:szCs w:val="21"/>
        </w:rPr>
      </w:pPr>
      <w:r>
        <w:rPr>
          <w:sz w:val="21"/>
          <w:szCs w:val="21"/>
        </w:rPr>
        <w:t xml:space="preserve">Полное название: </w:t>
      </w:r>
      <w:r>
        <w:rPr>
          <w:b/>
          <w:bCs/>
          <w:sz w:val="21"/>
          <w:szCs w:val="21"/>
        </w:rPr>
        <w:t>Общество с ограниченной ответственностью Специализированный Застройщик «Челны-Град НЧ»</w:t>
      </w:r>
    </w:p>
    <w:p w14:paraId="72DEC8C0">
      <w:pPr>
        <w:spacing w:line="0" w:lineRule="atLeast"/>
        <w:ind w:right="-143" w:firstLine="0"/>
        <w:jc w:val="both"/>
        <w:rPr>
          <w:b/>
          <w:sz w:val="21"/>
          <w:szCs w:val="21"/>
        </w:rPr>
      </w:pPr>
      <w:r>
        <w:rPr>
          <w:sz w:val="21"/>
          <w:szCs w:val="21"/>
        </w:rPr>
        <w:t xml:space="preserve">Сокращенное название: </w:t>
      </w:r>
      <w:r>
        <w:rPr>
          <w:b/>
          <w:sz w:val="21"/>
          <w:szCs w:val="21"/>
        </w:rPr>
        <w:t>ООО СЗ «Челны-Град НЧ»</w:t>
      </w:r>
    </w:p>
    <w:p w14:paraId="67C86209">
      <w:pPr>
        <w:spacing w:line="240" w:lineRule="auto"/>
        <w:ind w:right="-143" w:firstLine="0"/>
        <w:rPr>
          <w:bCs/>
          <w:sz w:val="21"/>
          <w:szCs w:val="21"/>
        </w:rPr>
      </w:pPr>
      <w:r>
        <w:rPr>
          <w:bCs/>
          <w:sz w:val="21"/>
          <w:szCs w:val="21"/>
        </w:rPr>
        <w:t>ОГРН: 1231600026448</w:t>
      </w:r>
    </w:p>
    <w:p w14:paraId="0D65EFE1">
      <w:pPr>
        <w:spacing w:line="240" w:lineRule="auto"/>
        <w:ind w:right="-143" w:firstLine="0"/>
        <w:rPr>
          <w:bCs/>
          <w:sz w:val="21"/>
          <w:szCs w:val="21"/>
        </w:rPr>
      </w:pPr>
      <w:r>
        <w:rPr>
          <w:bCs/>
          <w:sz w:val="21"/>
          <w:szCs w:val="21"/>
        </w:rPr>
        <w:t>ИНН/КПП: 1650424425/165001001</w:t>
      </w:r>
    </w:p>
    <w:p w14:paraId="1AB040D7">
      <w:pPr>
        <w:spacing w:line="240" w:lineRule="auto"/>
        <w:ind w:right="-143" w:firstLine="0"/>
        <w:rPr>
          <w:bCs/>
          <w:sz w:val="21"/>
          <w:szCs w:val="21"/>
        </w:rPr>
      </w:pPr>
      <w:r>
        <w:rPr>
          <w:bCs/>
          <w:sz w:val="21"/>
          <w:szCs w:val="21"/>
        </w:rPr>
        <w:t>Юридический адрес: 423832, Республика Татарстан, г. Набережные Челны, ул. Раскольникова, д. 65а, помещ. 9</w:t>
      </w:r>
    </w:p>
    <w:p w14:paraId="76B4311F">
      <w:pPr>
        <w:spacing w:line="240" w:lineRule="auto"/>
        <w:ind w:right="-143" w:firstLine="0"/>
        <w:rPr>
          <w:bCs/>
          <w:sz w:val="21"/>
          <w:szCs w:val="21"/>
        </w:rPr>
      </w:pPr>
      <w:r>
        <w:rPr>
          <w:bCs/>
          <w:sz w:val="21"/>
          <w:szCs w:val="21"/>
        </w:rPr>
        <w:t>Банковские реквизиты:</w:t>
      </w:r>
    </w:p>
    <w:p w14:paraId="79CD7B3A">
      <w:pPr>
        <w:spacing w:line="240" w:lineRule="auto"/>
        <w:ind w:right="-143" w:firstLine="0"/>
        <w:rPr>
          <w:bCs/>
          <w:sz w:val="21"/>
          <w:szCs w:val="21"/>
        </w:rPr>
      </w:pPr>
      <w:r>
        <w:rPr>
          <w:bCs/>
          <w:sz w:val="21"/>
          <w:szCs w:val="21"/>
        </w:rPr>
        <w:t>Расчетный счет: 40702810012010610796</w:t>
      </w:r>
    </w:p>
    <w:p w14:paraId="5AFD61C5">
      <w:pPr>
        <w:spacing w:line="240" w:lineRule="auto"/>
        <w:ind w:right="-143" w:firstLine="0"/>
        <w:rPr>
          <w:bCs/>
          <w:sz w:val="21"/>
          <w:szCs w:val="21"/>
        </w:rPr>
      </w:pPr>
      <w:r>
        <w:rPr>
          <w:bCs/>
          <w:sz w:val="21"/>
          <w:szCs w:val="21"/>
        </w:rPr>
        <w:t>Банк: Филиал «Корпоративный» ПАО «Совкомбанк» г. Москва</w:t>
      </w:r>
    </w:p>
    <w:p w14:paraId="459CAC97">
      <w:pPr>
        <w:spacing w:line="240" w:lineRule="auto"/>
        <w:ind w:right="-143" w:firstLine="0"/>
        <w:rPr>
          <w:bCs/>
          <w:sz w:val="21"/>
          <w:szCs w:val="21"/>
        </w:rPr>
      </w:pPr>
      <w:r>
        <w:rPr>
          <w:bCs/>
          <w:sz w:val="21"/>
          <w:szCs w:val="21"/>
        </w:rPr>
        <w:t>Корр. счет: 30101810445250000360</w:t>
      </w:r>
    </w:p>
    <w:p w14:paraId="2695F785">
      <w:pPr>
        <w:spacing w:line="240" w:lineRule="auto"/>
        <w:ind w:right="-143" w:firstLine="0"/>
        <w:rPr>
          <w:bCs/>
          <w:sz w:val="21"/>
          <w:szCs w:val="21"/>
        </w:rPr>
      </w:pPr>
      <w:r>
        <w:rPr>
          <w:bCs/>
          <w:sz w:val="21"/>
          <w:szCs w:val="21"/>
        </w:rPr>
        <w:t>БИК: 044525360</w:t>
      </w:r>
    </w:p>
    <w:p w14:paraId="62457AE9">
      <w:pPr>
        <w:pStyle w:val="38"/>
        <w:keepNext/>
        <w:spacing w:before="0" w:after="0" w:line="240" w:lineRule="auto"/>
        <w:ind w:right="-143"/>
        <w:rPr>
          <w:color w:val="10002B"/>
          <w:sz w:val="21"/>
          <w:szCs w:val="21"/>
          <w:shd w:val="clear" w:color="auto" w:fill="FFFFFF"/>
          <w:lang w:val="en-US"/>
        </w:rPr>
      </w:pPr>
      <w:r>
        <w:rPr>
          <w:bCs/>
          <w:sz w:val="21"/>
          <w:szCs w:val="21"/>
          <w:lang w:val="en-US"/>
        </w:rPr>
        <w:t>e-mail: Vm-kompani@yandex.ru</w:t>
      </w:r>
    </w:p>
    <w:p w14:paraId="1E89356E">
      <w:pPr>
        <w:pStyle w:val="38"/>
        <w:keepNext/>
        <w:spacing w:before="0" w:after="0" w:line="240" w:lineRule="auto"/>
        <w:ind w:right="-143"/>
        <w:rPr>
          <w:sz w:val="21"/>
          <w:szCs w:val="21"/>
          <w:lang w:val="en-US"/>
        </w:rPr>
      </w:pPr>
    </w:p>
    <w:p w14:paraId="10D38F4F">
      <w:pPr>
        <w:spacing w:line="240" w:lineRule="auto"/>
        <w:ind w:right="-143" w:firstLine="0"/>
        <w:jc w:val="both"/>
        <w:rPr>
          <w:b/>
          <w:sz w:val="21"/>
          <w:szCs w:val="21"/>
        </w:rPr>
      </w:pPr>
      <w:r>
        <w:rPr>
          <w:b/>
          <w:sz w:val="21"/>
          <w:szCs w:val="21"/>
        </w:rPr>
        <w:t xml:space="preserve">- эскроу-агент </w:t>
      </w:r>
    </w:p>
    <w:p w14:paraId="1F2D9514">
      <w:pPr>
        <w:spacing w:line="240" w:lineRule="auto"/>
        <w:ind w:right="-143" w:firstLine="708"/>
        <w:jc w:val="both"/>
        <w:rPr>
          <w:color w:val="auto"/>
          <w:sz w:val="21"/>
          <w:szCs w:val="21"/>
          <w:lang w:eastAsia="ru-RU"/>
        </w:rPr>
      </w:pPr>
      <w:r>
        <w:rPr>
          <w:color w:val="auto"/>
          <w:sz w:val="21"/>
          <w:szCs w:val="21"/>
          <w:lang w:eastAsia="ru-RU"/>
        </w:rPr>
        <w:t>Публичное  акционерное  общество  «Совкомбанк»  (сокращенное  наименование  ПАО Совкомбанк) Филиал Центральный ОГРН 114400000425, ИНН 4401116480, КПП 544543001; место нахождения и почтовый адрес: 633011, Новосибирская область, г. Бердск, ул. Попова, д.11. Адрес электронной почты: eSCrow@sovcombank.ru; номер телефона: +7 (495) 777-11-11. Платежные реквизиты: к/с 30101810150040000763 в Сибирском главном управлении Центрального банка Российской Федерации БИК 045004763, КПП 544543001, ОКПО 60843118, ОКАТО 50408000000.</w:t>
      </w:r>
    </w:p>
    <w:p w14:paraId="32BCEFC4">
      <w:pPr>
        <w:spacing w:line="240" w:lineRule="auto"/>
        <w:ind w:right="-143" w:firstLine="708"/>
        <w:jc w:val="both"/>
        <w:rPr>
          <w:color w:val="auto"/>
          <w:sz w:val="21"/>
          <w:szCs w:val="21"/>
          <w:lang w:eastAsia="ru-RU"/>
        </w:rPr>
      </w:pPr>
      <w:r>
        <w:rPr>
          <w:color w:val="auto"/>
          <w:sz w:val="21"/>
          <w:szCs w:val="21"/>
          <w:lang w:eastAsia="ru-RU"/>
        </w:rPr>
        <w:t xml:space="preserve">В случае расторжения настоящего Договора по любой причине, внесенные на Счет эскроу денежные средства (собственные и кредитные) ПАО «Совкомбанк» (Эскроу-агент) перечисляет на счет </w:t>
      </w:r>
      <w:r>
        <w:rPr>
          <w:b/>
          <w:color w:val="auto"/>
          <w:sz w:val="21"/>
          <w:szCs w:val="21"/>
          <w:lang w:eastAsia="ru-RU"/>
        </w:rPr>
        <w:t>ДОЛЬЩИКА</w:t>
      </w:r>
      <w:r>
        <w:rPr>
          <w:color w:val="auto"/>
          <w:sz w:val="21"/>
          <w:szCs w:val="21"/>
          <w:lang w:eastAsia="ru-RU"/>
        </w:rPr>
        <w:t xml:space="preserve"> (Депонент) № _______________________, открытый в Отделении "Банк Татарстан" №8610 ПАО Сбербанк (БИК 049205603, к/с 30101810600000000603). Гр.</w:t>
      </w:r>
      <w:r>
        <w:rPr>
          <w:color w:val="auto"/>
          <w:sz w:val="21"/>
          <w:szCs w:val="21"/>
        </w:rPr>
        <w:t xml:space="preserve"> </w:t>
      </w:r>
      <w:r>
        <w:rPr>
          <w:b/>
          <w:color w:val="auto"/>
          <w:sz w:val="21"/>
          <w:szCs w:val="21"/>
          <w:lang w:eastAsia="ru-RU"/>
        </w:rPr>
        <w:t xml:space="preserve">ФИО  </w:t>
      </w:r>
      <w:r>
        <w:rPr>
          <w:color w:val="auto"/>
          <w:sz w:val="21"/>
          <w:szCs w:val="21"/>
          <w:lang w:eastAsia="ru-RU"/>
        </w:rPr>
        <w:t xml:space="preserve">подтверждает, что счет, указанный в настоящем пункте, является текущим, залоговым, открыт на имя гр. </w:t>
      </w:r>
      <w:r>
        <w:rPr>
          <w:b/>
          <w:color w:val="000000"/>
          <w:sz w:val="21"/>
          <w:szCs w:val="21"/>
          <w:lang w:eastAsia="ru-RU"/>
        </w:rPr>
        <w:t>ФИО</w:t>
      </w:r>
      <w:r>
        <w:rPr>
          <w:color w:val="auto"/>
          <w:sz w:val="21"/>
          <w:szCs w:val="21"/>
          <w:lang w:eastAsia="ru-RU"/>
        </w:rPr>
        <w:t xml:space="preserve"> является получателем средств по этому счету. При заключении договора счета эскроу Участника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15470155">
      <w:pPr>
        <w:spacing w:line="240" w:lineRule="auto"/>
        <w:ind w:right="-143" w:firstLine="708"/>
        <w:jc w:val="both"/>
        <w:rPr>
          <w:color w:val="auto"/>
          <w:sz w:val="21"/>
          <w:szCs w:val="21"/>
          <w:lang w:eastAsia="ru-RU"/>
        </w:rPr>
      </w:pPr>
    </w:p>
    <w:p w14:paraId="600AC629">
      <w:pPr>
        <w:spacing w:line="240" w:lineRule="auto"/>
        <w:ind w:right="-143" w:firstLine="0"/>
        <w:jc w:val="both"/>
        <w:rPr>
          <w:b/>
          <w:sz w:val="21"/>
          <w:szCs w:val="21"/>
          <w:lang w:eastAsia="ru-RU"/>
        </w:rPr>
      </w:pPr>
      <w:r>
        <w:rPr>
          <w:b/>
          <w:color w:val="000000" w:themeColor="text1"/>
          <w:sz w:val="21"/>
          <w:szCs w:val="21"/>
          <w14:textFill>
            <w14:solidFill>
              <w14:schemeClr w14:val="tx1"/>
            </w14:solidFill>
          </w14:textFill>
        </w:rPr>
        <w:t xml:space="preserve">Депонент: </w:t>
      </w:r>
      <w:r>
        <w:rPr>
          <w:b/>
          <w:color w:val="auto"/>
          <w:sz w:val="21"/>
          <w:szCs w:val="21"/>
          <w:lang w:eastAsia="ru-RU"/>
        </w:rPr>
        <w:t>_________________________</w:t>
      </w:r>
      <w:r>
        <w:rPr>
          <w:b/>
          <w:sz w:val="21"/>
          <w:szCs w:val="21"/>
          <w:lang w:eastAsia="ru-RU"/>
        </w:rPr>
        <w:t xml:space="preserve">. </w:t>
      </w:r>
    </w:p>
    <w:p w14:paraId="1860FA26">
      <w:pPr>
        <w:spacing w:line="240" w:lineRule="auto"/>
        <w:ind w:right="-143" w:firstLine="0"/>
        <w:jc w:val="both"/>
        <w:rPr>
          <w:b/>
          <w:color w:val="000000" w:themeColor="text1"/>
          <w:sz w:val="21"/>
          <w:szCs w:val="21"/>
          <w14:textFill>
            <w14:solidFill>
              <w14:schemeClr w14:val="tx1"/>
            </w14:solidFill>
          </w14:textFill>
        </w:rPr>
      </w:pPr>
    </w:p>
    <w:p w14:paraId="5B6942D1">
      <w:pPr>
        <w:spacing w:line="240" w:lineRule="auto"/>
        <w:ind w:right="-143" w:firstLine="709"/>
        <w:jc w:val="both"/>
        <w:rPr>
          <w:sz w:val="21"/>
          <w:szCs w:val="21"/>
        </w:rPr>
      </w:pPr>
      <w:r>
        <w:rPr>
          <w:sz w:val="21"/>
          <w:szCs w:val="21"/>
        </w:rPr>
        <w:t xml:space="preserve">Стороны подтверждают, что положения настоящего пункта являются совместной офертой </w:t>
      </w:r>
      <w:r>
        <w:rPr>
          <w:b/>
          <w:sz w:val="21"/>
          <w:szCs w:val="21"/>
        </w:rPr>
        <w:t>ЗАСТРОЙЩИКА</w:t>
      </w:r>
      <w:r>
        <w:rPr>
          <w:sz w:val="21"/>
          <w:szCs w:val="21"/>
        </w:rPr>
        <w:t xml:space="preserve"> и </w:t>
      </w:r>
      <w:r>
        <w:rPr>
          <w:b/>
          <w:sz w:val="21"/>
          <w:szCs w:val="21"/>
        </w:rPr>
        <w:t>ДОЛЬЩИКА</w:t>
      </w:r>
      <w:r>
        <w:rPr>
          <w:sz w:val="21"/>
          <w:szCs w:val="21"/>
        </w:rPr>
        <w:t>, адресованной ПАО «Совкомбанк» в целях заключения Договора счета эскроу в соответствии с Общими условиями открытия и обслуживания счета эскроу, ПАО «Совкомбанк» на официальном сайте https://sovcombank.ru в сети Интернет, а также в подразделениях ПАО «Совкомбанк» в которых осуществляется открытие счета эскроу, в доступном для размещения месте.</w:t>
      </w:r>
    </w:p>
    <w:p w14:paraId="703542E9">
      <w:pPr>
        <w:spacing w:line="240" w:lineRule="auto"/>
        <w:ind w:right="-143" w:firstLine="709"/>
        <w:jc w:val="both"/>
        <w:rPr>
          <w:sz w:val="21"/>
          <w:szCs w:val="21"/>
        </w:rPr>
      </w:pPr>
      <w:r>
        <w:rPr>
          <w:sz w:val="21"/>
          <w:szCs w:val="21"/>
        </w:rPr>
        <w:t xml:space="preserve">Настоящим </w:t>
      </w:r>
      <w:r>
        <w:rPr>
          <w:b/>
          <w:sz w:val="21"/>
          <w:szCs w:val="21"/>
        </w:rPr>
        <w:t xml:space="preserve">ЗАСТРОЙЩИК </w:t>
      </w:r>
      <w:r>
        <w:rPr>
          <w:sz w:val="21"/>
          <w:szCs w:val="21"/>
        </w:rPr>
        <w:t xml:space="preserve">уполномочивает </w:t>
      </w:r>
      <w:r>
        <w:rPr>
          <w:b/>
          <w:sz w:val="21"/>
          <w:szCs w:val="21"/>
        </w:rPr>
        <w:t>ДОЛЬЩИКА</w:t>
      </w:r>
      <w:r>
        <w:rPr>
          <w:sz w:val="21"/>
          <w:szCs w:val="21"/>
        </w:rPr>
        <w:t xml:space="preserve"> на представление последними в ПАО «Совкомбанк» оригинала настоящего Договора, зарегистрированного в установленном законом порядке, от имени </w:t>
      </w:r>
      <w:r>
        <w:rPr>
          <w:b/>
          <w:sz w:val="21"/>
          <w:szCs w:val="21"/>
        </w:rPr>
        <w:t>ЗАСТРОЙЩИКА</w:t>
      </w:r>
      <w:r>
        <w:rPr>
          <w:sz w:val="21"/>
          <w:szCs w:val="21"/>
        </w:rPr>
        <w:t xml:space="preserve"> в качестве подтверждения оферты </w:t>
      </w:r>
      <w:r>
        <w:rPr>
          <w:b/>
          <w:sz w:val="21"/>
          <w:szCs w:val="21"/>
        </w:rPr>
        <w:t>ЗАСТРОЙЩИКА</w:t>
      </w:r>
      <w:r>
        <w:rPr>
          <w:sz w:val="21"/>
          <w:szCs w:val="21"/>
        </w:rPr>
        <w:t xml:space="preserve"> на заключение Договора счета эскроу с </w:t>
      </w:r>
      <w:r>
        <w:rPr>
          <w:b/>
          <w:sz w:val="21"/>
          <w:szCs w:val="21"/>
        </w:rPr>
        <w:t>ДОЛЬЩИКОМ</w:t>
      </w:r>
      <w:r>
        <w:rPr>
          <w:sz w:val="21"/>
          <w:szCs w:val="21"/>
        </w:rPr>
        <w:t xml:space="preserve"> и ПАО «Совкомбанк».</w:t>
      </w:r>
    </w:p>
    <w:p w14:paraId="4654CF91">
      <w:pPr>
        <w:spacing w:line="240" w:lineRule="auto"/>
        <w:ind w:right="-143" w:firstLine="709"/>
        <w:jc w:val="both"/>
        <w:rPr>
          <w:sz w:val="21"/>
          <w:szCs w:val="21"/>
        </w:rPr>
      </w:pPr>
      <w:r>
        <w:rPr>
          <w:b/>
          <w:sz w:val="21"/>
          <w:szCs w:val="21"/>
        </w:rPr>
        <w:t>ЗАСТРОЙЩИК</w:t>
      </w:r>
      <w:r>
        <w:rPr>
          <w:sz w:val="21"/>
          <w:szCs w:val="21"/>
        </w:rPr>
        <w:t xml:space="preserve"> также обязуется не позднее 5 рабочих дней предоставить в ПАО «Совкомбанк» документы, необходимые для заключения Договора счета эскроу</w:t>
      </w:r>
    </w:p>
    <w:p w14:paraId="3EABCF4F">
      <w:pPr>
        <w:spacing w:line="240" w:lineRule="auto"/>
        <w:ind w:right="-143" w:firstLine="709"/>
        <w:jc w:val="both"/>
        <w:rPr>
          <w:sz w:val="21"/>
          <w:szCs w:val="21"/>
        </w:rPr>
      </w:pPr>
      <w:r>
        <w:rPr>
          <w:b/>
          <w:sz w:val="21"/>
          <w:szCs w:val="21"/>
        </w:rPr>
        <w:t>ДОЛЬЩИК</w:t>
      </w:r>
      <w:r>
        <w:rPr>
          <w:sz w:val="21"/>
          <w:szCs w:val="21"/>
        </w:rPr>
        <w:t xml:space="preserve"> обязуется не позднее 5 рабочих дней предоставить в ПАО «Совкомбанк» 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603CD72C">
      <w:pPr>
        <w:spacing w:line="240" w:lineRule="auto"/>
        <w:ind w:right="-143" w:firstLine="709"/>
        <w:jc w:val="both"/>
        <w:rPr>
          <w:sz w:val="21"/>
          <w:szCs w:val="21"/>
        </w:rPr>
      </w:pPr>
      <w:r>
        <w:rPr>
          <w:sz w:val="21"/>
          <w:szCs w:val="21"/>
        </w:rPr>
        <w:t xml:space="preserve">Предоставление </w:t>
      </w:r>
      <w:r>
        <w:rPr>
          <w:b/>
          <w:sz w:val="21"/>
          <w:szCs w:val="21"/>
        </w:rPr>
        <w:t>ДОЛЬЩИКОМ</w:t>
      </w:r>
      <w:r>
        <w:rPr>
          <w:sz w:val="21"/>
          <w:szCs w:val="21"/>
        </w:rPr>
        <w:t xml:space="preserve"> вышеуказанных документов в совокупности является подтверждением предложения (оферты) Дольщика на заключение Договора счета эскроу с </w:t>
      </w:r>
      <w:r>
        <w:rPr>
          <w:b/>
          <w:sz w:val="21"/>
          <w:szCs w:val="21"/>
        </w:rPr>
        <w:t>ЗАСТРОЙЩИКОМ</w:t>
      </w:r>
      <w:r>
        <w:rPr>
          <w:sz w:val="21"/>
          <w:szCs w:val="21"/>
        </w:rPr>
        <w:t xml:space="preserve"> и ПАО «Совкомбанк» в соответствии с Общими условиями открытия и обслуживания счета эскроу.</w:t>
      </w:r>
    </w:p>
    <w:p w14:paraId="1917AC25">
      <w:pPr>
        <w:spacing w:line="240" w:lineRule="auto"/>
        <w:ind w:right="-143" w:firstLine="709"/>
        <w:jc w:val="both"/>
        <w:rPr>
          <w:sz w:val="21"/>
          <w:szCs w:val="21"/>
        </w:rPr>
      </w:pPr>
      <w:r>
        <w:rPr>
          <w:sz w:val="21"/>
          <w:szCs w:val="21"/>
        </w:rPr>
        <w:t xml:space="preserve">Настоящим </w:t>
      </w:r>
      <w:r>
        <w:rPr>
          <w:b/>
          <w:sz w:val="21"/>
          <w:szCs w:val="21"/>
        </w:rPr>
        <w:t>ЗАСТРОЙЩИК</w:t>
      </w:r>
      <w:r>
        <w:rPr>
          <w:sz w:val="21"/>
          <w:szCs w:val="21"/>
        </w:rPr>
        <w:t xml:space="preserve"> и </w:t>
      </w:r>
      <w:r>
        <w:rPr>
          <w:b/>
          <w:sz w:val="21"/>
          <w:szCs w:val="21"/>
        </w:rPr>
        <w:t>ДОЛЬЩИК</w:t>
      </w:r>
      <w:r>
        <w:rPr>
          <w:sz w:val="21"/>
          <w:szCs w:val="21"/>
        </w:rPr>
        <w:t xml:space="preserve"> подтверждают, что уведомлены и согласны с тем, что Договор счета эскроу считается заключенным с момента открытия ПАО «Совкомбанк» счета эскроу, о чем они будут уведомлены в порядке, установленном Общими условиями открытия и обслуживания счета эскроу.</w:t>
      </w:r>
    </w:p>
    <w:p w14:paraId="3C33D644">
      <w:pPr>
        <w:ind w:right="-143" w:firstLine="709"/>
        <w:jc w:val="both"/>
        <w:rPr>
          <w:sz w:val="21"/>
          <w:szCs w:val="21"/>
        </w:rPr>
      </w:pPr>
      <w:r>
        <w:rPr>
          <w:b/>
          <w:sz w:val="21"/>
          <w:szCs w:val="21"/>
        </w:rPr>
        <w:t>Условия депонирования:</w:t>
      </w:r>
    </w:p>
    <w:p w14:paraId="2BAFCBD7">
      <w:pPr>
        <w:ind w:right="-143" w:firstLine="709"/>
        <w:jc w:val="both"/>
        <w:rPr>
          <w:sz w:val="21"/>
          <w:szCs w:val="21"/>
        </w:rPr>
      </w:pPr>
      <w:r>
        <w:rPr>
          <w:sz w:val="21"/>
          <w:szCs w:val="21"/>
        </w:rPr>
        <w:t>Депонируемая сумма равна Цене Договора, согласованной Сторонами в пункте 2.2 Договора;</w:t>
      </w:r>
    </w:p>
    <w:p w14:paraId="122BC87B">
      <w:pPr>
        <w:ind w:right="-143" w:firstLine="709"/>
        <w:jc w:val="both"/>
        <w:rPr>
          <w:sz w:val="21"/>
          <w:szCs w:val="21"/>
        </w:rPr>
      </w:pPr>
      <w:r>
        <w:rPr>
          <w:color w:val="auto"/>
          <w:sz w:val="21"/>
          <w:szCs w:val="21"/>
        </w:rPr>
        <w:t xml:space="preserve">Срок условного депонирования: не более шести месяцев. после получения акта ввода в эксплуатацию данного жилого дома, в соответствие с законодательством РФ. В случае увеличения фактического срока </w:t>
      </w:r>
      <w:r>
        <w:rPr>
          <w:sz w:val="21"/>
          <w:szCs w:val="21"/>
        </w:rPr>
        <w:t xml:space="preserve">передачи Объекта долевого строительства по сравнению со сроком, предусмотренным в п. 1.4. настоящего Договора, срок условного депонирования продлевается в порядке и на условиях, предусмотренных договором счета эскроу, заключенного </w:t>
      </w:r>
      <w:r>
        <w:rPr>
          <w:b/>
          <w:sz w:val="21"/>
          <w:szCs w:val="21"/>
        </w:rPr>
        <w:t>ЗАСТРОЙЩИКОМ</w:t>
      </w:r>
      <w:r>
        <w:rPr>
          <w:sz w:val="21"/>
          <w:szCs w:val="21"/>
        </w:rPr>
        <w:t xml:space="preserve">, </w:t>
      </w:r>
      <w:r>
        <w:rPr>
          <w:b/>
          <w:sz w:val="21"/>
          <w:szCs w:val="21"/>
        </w:rPr>
        <w:t>ДОЛЬЩИКОМ</w:t>
      </w:r>
      <w:r>
        <w:rPr>
          <w:sz w:val="21"/>
          <w:szCs w:val="21"/>
        </w:rPr>
        <w:t xml:space="preserve"> и Уполномоченным банком, на основании уведомления </w:t>
      </w:r>
      <w:r>
        <w:rPr>
          <w:b/>
          <w:sz w:val="21"/>
          <w:szCs w:val="21"/>
        </w:rPr>
        <w:t>ЗАСТРОЙЩИКА</w:t>
      </w:r>
      <w:r>
        <w:rPr>
          <w:sz w:val="21"/>
          <w:szCs w:val="21"/>
        </w:rPr>
        <w:t>, направляемого Уполномоченному банку. В любом случае срок условного депонирования не может превышать более чем на шесть месяцев срок ввода в эксплуатацию Многоквартирного дома.</w:t>
      </w:r>
    </w:p>
    <w:p w14:paraId="34B6D433">
      <w:pPr>
        <w:ind w:right="-143" w:firstLine="709"/>
        <w:jc w:val="both"/>
        <w:rPr>
          <w:sz w:val="21"/>
          <w:szCs w:val="21"/>
        </w:rPr>
      </w:pPr>
      <w:r>
        <w:rPr>
          <w:sz w:val="21"/>
          <w:szCs w:val="21"/>
        </w:rPr>
        <w:t>Стороны определили, что при осуществлении расчетов по настоящему Договору в платежных документах о перечислении сумм должно быть указано:</w:t>
      </w:r>
      <w:r>
        <w:rPr>
          <w:i/>
          <w:iCs/>
          <w:sz w:val="21"/>
          <w:szCs w:val="21"/>
        </w:rPr>
        <w:t xml:space="preserve"> «Оплата по Дог. № </w:t>
      </w:r>
      <w:r>
        <w:rPr>
          <w:i/>
          <w:iCs/>
          <w:color w:val="auto"/>
          <w:sz w:val="21"/>
          <w:szCs w:val="21"/>
        </w:rPr>
        <w:t xml:space="preserve">2/____ </w:t>
      </w:r>
      <w:r>
        <w:rPr>
          <w:i/>
          <w:iCs/>
          <w:sz w:val="21"/>
          <w:szCs w:val="21"/>
        </w:rPr>
        <w:t xml:space="preserve">участия в долевом строительстве </w:t>
      </w:r>
      <w:r>
        <w:rPr>
          <w:i/>
          <w:iCs/>
          <w:sz w:val="21"/>
          <w:szCs w:val="21"/>
          <w:shd w:val="clear" w:color="auto" w:fill="FFFFFF" w:themeFill="background1"/>
        </w:rPr>
        <w:t xml:space="preserve">от </w:t>
      </w:r>
      <w:r>
        <w:rPr>
          <w:i/>
          <w:iCs/>
          <w:color w:val="auto"/>
          <w:sz w:val="21"/>
          <w:szCs w:val="21"/>
          <w:shd w:val="clear" w:color="auto" w:fill="FFFFFF" w:themeFill="background1"/>
        </w:rPr>
        <w:t xml:space="preserve">________ </w:t>
      </w:r>
      <w:r>
        <w:rPr>
          <w:i/>
          <w:iCs/>
          <w:sz w:val="21"/>
          <w:szCs w:val="21"/>
        </w:rPr>
        <w:t>г. за квартиру условный ном</w:t>
      </w:r>
      <w:r>
        <w:rPr>
          <w:i/>
          <w:iCs/>
          <w:sz w:val="21"/>
          <w:szCs w:val="21"/>
          <w:shd w:val="clear" w:color="auto" w:fill="FFFFFF" w:themeFill="background1"/>
        </w:rPr>
        <w:t>ер</w:t>
      </w:r>
      <w:r>
        <w:rPr>
          <w:sz w:val="21"/>
          <w:szCs w:val="21"/>
          <w:shd w:val="clear" w:color="auto" w:fill="FFFFFF" w:themeFill="background1"/>
        </w:rPr>
        <w:t xml:space="preserve"> ____, </w:t>
      </w:r>
      <w:r>
        <w:rPr>
          <w:i/>
          <w:iCs/>
          <w:sz w:val="21"/>
          <w:szCs w:val="21"/>
        </w:rPr>
        <w:t>НДС не облагается».</w:t>
      </w:r>
    </w:p>
    <w:p w14:paraId="64F7873C">
      <w:pPr>
        <w:ind w:right="-143" w:firstLine="709"/>
        <w:jc w:val="both"/>
        <w:rPr>
          <w:sz w:val="21"/>
          <w:szCs w:val="21"/>
        </w:rPr>
      </w:pPr>
      <w:r>
        <w:rPr>
          <w:color w:val="000000"/>
          <w:sz w:val="21"/>
          <w:szCs w:val="21"/>
        </w:rPr>
        <w:t xml:space="preserve">Стороны предусмотрели возможность оплаты Объекта долевого строительства по настоящему договору за </w:t>
      </w:r>
      <w:r>
        <w:rPr>
          <w:b/>
          <w:color w:val="000000"/>
          <w:sz w:val="21"/>
          <w:szCs w:val="21"/>
        </w:rPr>
        <w:t>ДОЛЬЩИКА</w:t>
      </w:r>
      <w:r>
        <w:rPr>
          <w:color w:val="000000"/>
          <w:sz w:val="21"/>
          <w:szCs w:val="21"/>
        </w:rPr>
        <w:t xml:space="preserve"> третьим лицом.</w:t>
      </w:r>
    </w:p>
    <w:p w14:paraId="070BF96B">
      <w:pPr>
        <w:pStyle w:val="12"/>
        <w:widowControl/>
        <w:suppressAutoHyphens w:val="0"/>
        <w:overflowPunct w:val="0"/>
        <w:spacing w:before="0"/>
        <w:ind w:right="-143" w:firstLine="709"/>
        <w:rPr>
          <w:sz w:val="21"/>
          <w:szCs w:val="21"/>
        </w:rPr>
      </w:pPr>
      <w:r>
        <w:rPr>
          <w:b/>
          <w:sz w:val="21"/>
          <w:szCs w:val="21"/>
        </w:rPr>
        <w:t>ДОЛЬЩИК</w:t>
      </w:r>
      <w:r>
        <w:rPr>
          <w:sz w:val="21"/>
          <w:szCs w:val="21"/>
        </w:rPr>
        <w:t xml:space="preserve"> не имеет права осуществлять любые платежи по Договору до даты государственной регистрации настоящего Договора. В случае оплаты </w:t>
      </w:r>
      <w:r>
        <w:rPr>
          <w:b/>
          <w:sz w:val="21"/>
          <w:szCs w:val="21"/>
        </w:rPr>
        <w:t>ДОЛЬЩИКОМ</w:t>
      </w:r>
      <w:r>
        <w:rPr>
          <w:sz w:val="21"/>
          <w:szCs w:val="21"/>
        </w:rPr>
        <w:t xml:space="preserve"> Цены Договора или части Цены Договора до даты государственной регистрации настоящего Договора, </w:t>
      </w:r>
      <w:r>
        <w:rPr>
          <w:b/>
          <w:sz w:val="21"/>
          <w:szCs w:val="21"/>
        </w:rPr>
        <w:t>ДОЛЬЩИК</w:t>
      </w:r>
      <w:r>
        <w:rPr>
          <w:sz w:val="21"/>
          <w:szCs w:val="21"/>
        </w:rPr>
        <w:t xml:space="preserve"> возмещает </w:t>
      </w:r>
      <w:r>
        <w:rPr>
          <w:b/>
          <w:sz w:val="21"/>
          <w:szCs w:val="21"/>
        </w:rPr>
        <w:t>ЗАСТРОЙЩИКУ</w:t>
      </w:r>
      <w:r>
        <w:rPr>
          <w:sz w:val="21"/>
          <w:szCs w:val="21"/>
        </w:rPr>
        <w:t xml:space="preserve"> (должностному лицу Застройщика) расходы на уплату административных штрафов, связанных с нарушением порядка привлечения денежных средств </w:t>
      </w:r>
      <w:r>
        <w:rPr>
          <w:b/>
          <w:sz w:val="21"/>
          <w:szCs w:val="21"/>
        </w:rPr>
        <w:t>ДОЛЬЩИКА</w:t>
      </w:r>
      <w:r>
        <w:rPr>
          <w:sz w:val="21"/>
          <w:szCs w:val="21"/>
        </w:rPr>
        <w:t xml:space="preserve">, предусмотренного Законом о Долевом Участии на основании письменного требования </w:t>
      </w:r>
      <w:r>
        <w:rPr>
          <w:b/>
          <w:sz w:val="21"/>
          <w:szCs w:val="21"/>
        </w:rPr>
        <w:t>ЗАСТРОЙЩИКА</w:t>
      </w:r>
      <w:r>
        <w:rPr>
          <w:sz w:val="21"/>
          <w:szCs w:val="21"/>
        </w:rPr>
        <w:t xml:space="preserve"> в срок не позднее 3 (трех) рабочих дней с даты получения указанного требования. </w:t>
      </w:r>
    </w:p>
    <w:p w14:paraId="716C3192">
      <w:pPr>
        <w:pStyle w:val="12"/>
        <w:widowControl/>
        <w:suppressAutoHyphens w:val="0"/>
        <w:spacing w:before="0"/>
        <w:ind w:right="-143" w:firstLine="709"/>
        <w:rPr>
          <w:sz w:val="21"/>
          <w:szCs w:val="21"/>
        </w:rPr>
      </w:pPr>
      <w:r>
        <w:rPr>
          <w:sz w:val="21"/>
          <w:szCs w:val="21"/>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w:t>
      </w:r>
      <w:r>
        <w:rPr>
          <w:b/>
          <w:sz w:val="21"/>
          <w:szCs w:val="21"/>
        </w:rPr>
        <w:t>ЗАСТРОЙЩИК</w:t>
      </w:r>
      <w:r>
        <w:rPr>
          <w:sz w:val="21"/>
          <w:szCs w:val="21"/>
        </w:rPr>
        <w:t xml:space="preserve"> или </w:t>
      </w:r>
      <w:r>
        <w:rPr>
          <w:b/>
          <w:sz w:val="21"/>
          <w:szCs w:val="21"/>
        </w:rPr>
        <w:t>ДОЛЬЩИК</w:t>
      </w:r>
      <w:r>
        <w:rPr>
          <w:sz w:val="21"/>
          <w:szCs w:val="21"/>
        </w:rPr>
        <w:t xml:space="preserve"> вправе направить в Уполномоченный банк на адрес электронной почты </w:t>
      </w:r>
      <w:r>
        <w:rPr>
          <w:b/>
          <w:color w:val="000000"/>
          <w:sz w:val="21"/>
          <w:szCs w:val="21"/>
        </w:rPr>
        <w:t>eSCrow@sovcombank.ru</w:t>
      </w:r>
      <w:r>
        <w:rPr>
          <w:color w:val="000000"/>
          <w:sz w:val="21"/>
          <w:szCs w:val="21"/>
        </w:rPr>
        <w:t>:</w:t>
      </w:r>
    </w:p>
    <w:p w14:paraId="5EB6949D">
      <w:pPr>
        <w:pStyle w:val="12"/>
        <w:tabs>
          <w:tab w:val="left" w:pos="1134"/>
        </w:tabs>
        <w:spacing w:before="0"/>
        <w:ind w:right="-143" w:firstLine="709"/>
        <w:rPr>
          <w:sz w:val="21"/>
          <w:szCs w:val="21"/>
        </w:rPr>
      </w:pPr>
      <w:r>
        <w:rPr>
          <w:iCs/>
          <w:sz w:val="21"/>
          <w:szCs w:val="21"/>
          <w:u w:val="single"/>
        </w:rPr>
        <w:t>- сканированную копию настоящего Договора в электронном виде с отметкой Органа регистрации прав о государственной регистрации Договора;</w:t>
      </w:r>
    </w:p>
    <w:p w14:paraId="1D703E81">
      <w:pPr>
        <w:pStyle w:val="12"/>
        <w:tabs>
          <w:tab w:val="left" w:pos="1134"/>
        </w:tabs>
        <w:spacing w:before="0"/>
        <w:ind w:right="-143" w:firstLine="709"/>
        <w:rPr>
          <w:sz w:val="21"/>
          <w:szCs w:val="21"/>
        </w:rPr>
      </w:pPr>
      <w:r>
        <w:rPr>
          <w:iCs/>
          <w:sz w:val="21"/>
          <w:szCs w:val="21"/>
          <w:u w:val="single"/>
        </w:rPr>
        <w:t>или</w:t>
      </w:r>
    </w:p>
    <w:p w14:paraId="761A8AD0">
      <w:pPr>
        <w:pStyle w:val="12"/>
        <w:tabs>
          <w:tab w:val="left" w:pos="1134"/>
        </w:tabs>
        <w:spacing w:before="0"/>
        <w:ind w:right="-143" w:firstLine="709"/>
        <w:rPr>
          <w:sz w:val="21"/>
          <w:szCs w:val="21"/>
        </w:rPr>
      </w:pPr>
      <w:r>
        <w:rPr>
          <w:iCs/>
          <w:sz w:val="21"/>
          <w:szCs w:val="21"/>
          <w:u w:val="single"/>
        </w:rPr>
        <w:t>-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734C575A">
      <w:pPr>
        <w:pStyle w:val="12"/>
        <w:widowControl/>
        <w:suppressAutoHyphens w:val="0"/>
        <w:overflowPunct w:val="0"/>
        <w:spacing w:before="0"/>
        <w:ind w:right="-143" w:firstLine="709"/>
        <w:rPr>
          <w:sz w:val="21"/>
          <w:szCs w:val="21"/>
        </w:rPr>
      </w:pPr>
      <w:r>
        <w:rPr>
          <w:sz w:val="21"/>
          <w:szCs w:val="21"/>
        </w:rPr>
        <w:t xml:space="preserve">В случае отказа Уполномоченного банка от заключения договора счета эскроу с </w:t>
      </w:r>
      <w:r>
        <w:rPr>
          <w:b/>
          <w:sz w:val="21"/>
          <w:szCs w:val="21"/>
        </w:rPr>
        <w:t>ДОЛЬЩИКОМ</w:t>
      </w:r>
      <w:r>
        <w:rPr>
          <w:sz w:val="21"/>
          <w:szCs w:val="21"/>
        </w:rPr>
        <w:t xml:space="preserve">, расторжения уполномоченным банком договора счета эскроу с </w:t>
      </w:r>
      <w:r>
        <w:rPr>
          <w:b/>
          <w:sz w:val="21"/>
          <w:szCs w:val="21"/>
        </w:rPr>
        <w:t>ДОЛЬЩИКОМ</w:t>
      </w:r>
      <w:r>
        <w:rPr>
          <w:sz w:val="21"/>
          <w:szCs w:val="21"/>
        </w:rPr>
        <w:t xml:space="preserve">, по основаниям, указанным в </w:t>
      </w:r>
      <w:r>
        <w:fldChar w:fldCharType="begin"/>
      </w:r>
      <w:r>
        <w:instrText xml:space="preserve"> HYPERLINK "consultantplus://offline/ref=0E6604B2C0F9ED1A550086FC79924A2CDBCD491259844F49C79E199C43009323C860E6DAA06A31BCD8BBB131AD93DEA28E5C1AC8A269C8AEY8M9Q" \h </w:instrText>
      </w:r>
      <w:r>
        <w:fldChar w:fldCharType="separate"/>
      </w:r>
      <w:r>
        <w:rPr>
          <w:rStyle w:val="20"/>
          <w:color w:val="00000A"/>
          <w:sz w:val="21"/>
          <w:szCs w:val="21"/>
        </w:rPr>
        <w:t>пункте 5.2 статьи 7</w:t>
      </w:r>
      <w:r>
        <w:rPr>
          <w:rStyle w:val="20"/>
          <w:color w:val="00000A"/>
          <w:sz w:val="21"/>
          <w:szCs w:val="21"/>
        </w:rPr>
        <w:fldChar w:fldCharType="end"/>
      </w:r>
      <w:r>
        <w:rPr>
          <w:sz w:val="21"/>
          <w:szCs w:val="21"/>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w:t>
      </w:r>
      <w:r>
        <w:rPr>
          <w:b/>
          <w:sz w:val="21"/>
          <w:szCs w:val="21"/>
        </w:rPr>
        <w:t>ЗАСТРОЙЩИК</w:t>
      </w:r>
      <w:r>
        <w:rPr>
          <w:sz w:val="21"/>
          <w:szCs w:val="21"/>
        </w:rPr>
        <w:t xml:space="preserve"> может в одностороннем порядке отказаться от исполнения настоящего Договора в порядке, предусмотренном </w:t>
      </w:r>
      <w:r>
        <w:fldChar w:fldCharType="begin"/>
      </w:r>
      <w:r>
        <w:instrText xml:space="preserve"> HYPERLINK "consultantplus://offline/ref=0E6604B2C0F9ED1A550086FC79924A2CDBCE4D155B814F49C79E199C43009323C860E6DAA06A30BBDEBBB131AD93DEA28E5C1AC8A269C8AEY8M9Q" \h </w:instrText>
      </w:r>
      <w:r>
        <w:fldChar w:fldCharType="separate"/>
      </w:r>
      <w:r>
        <w:rPr>
          <w:rStyle w:val="20"/>
          <w:color w:val="00000A"/>
          <w:sz w:val="21"/>
          <w:szCs w:val="21"/>
        </w:rPr>
        <w:t>частями 3</w:t>
      </w:r>
      <w:r>
        <w:rPr>
          <w:rStyle w:val="20"/>
          <w:color w:val="00000A"/>
          <w:sz w:val="21"/>
          <w:szCs w:val="21"/>
        </w:rPr>
        <w:fldChar w:fldCharType="end"/>
      </w:r>
      <w:r>
        <w:rPr>
          <w:sz w:val="21"/>
          <w:szCs w:val="21"/>
        </w:rPr>
        <w:t xml:space="preserve"> и </w:t>
      </w:r>
      <w:r>
        <w:fldChar w:fldCharType="begin"/>
      </w:r>
      <w:r>
        <w:instrText xml:space="preserve"> HYPERLINK "consultantplus://offline/ref=0E6604B2C0F9ED1A550086FC79924A2CDBCE4D155B814F49C79E199C43009323C860E6DAA06A30BBD9BBB131AD93DEA28E5C1AC8A269C8AEY8M9Q" \h </w:instrText>
      </w:r>
      <w:r>
        <w:fldChar w:fldCharType="separate"/>
      </w:r>
      <w:r>
        <w:rPr>
          <w:rStyle w:val="20"/>
          <w:color w:val="00000A"/>
          <w:sz w:val="21"/>
          <w:szCs w:val="21"/>
        </w:rPr>
        <w:t>4 статьи 9</w:t>
      </w:r>
      <w:r>
        <w:rPr>
          <w:rStyle w:val="20"/>
          <w:color w:val="00000A"/>
          <w:sz w:val="21"/>
          <w:szCs w:val="21"/>
        </w:rPr>
        <w:fldChar w:fldCharType="end"/>
      </w:r>
      <w:r>
        <w:rPr>
          <w:sz w:val="21"/>
          <w:szCs w:val="21"/>
        </w:rPr>
        <w:t xml:space="preserve"> Закона о Долевом Участии.</w:t>
      </w:r>
    </w:p>
    <w:p w14:paraId="6FCE0A53">
      <w:pPr>
        <w:spacing w:line="240" w:lineRule="auto"/>
        <w:ind w:right="-143" w:firstLine="709"/>
        <w:jc w:val="both"/>
        <w:rPr>
          <w:sz w:val="21"/>
          <w:szCs w:val="21"/>
        </w:rPr>
      </w:pPr>
      <w:r>
        <w:rPr>
          <w:sz w:val="21"/>
          <w:szCs w:val="21"/>
        </w:rPr>
        <w:t>4.5. Цена настоящего Договора подлежит изменению после заключения настоящего Договора в случае, если общая приведенная площадь Объекта по результатам обмеров, произведенных специализированной организацией после окончания строительства Многоквартирного дома лицом, оказывающим услуги в сфере технической инвентаризации и/или кадастрового учета, будет больше или меньше Проектной общей приведенной площади Объекта, указанного в п. 3.2. Договора.</w:t>
      </w:r>
    </w:p>
    <w:p w14:paraId="787CD6AF">
      <w:pPr>
        <w:spacing w:line="240" w:lineRule="auto"/>
        <w:ind w:right="-143" w:firstLine="709"/>
        <w:jc w:val="both"/>
        <w:rPr>
          <w:sz w:val="21"/>
          <w:szCs w:val="21"/>
        </w:rPr>
      </w:pPr>
      <w:r>
        <w:rPr>
          <w:sz w:val="21"/>
          <w:szCs w:val="21"/>
        </w:rPr>
        <w:t xml:space="preserve">В случае, если </w:t>
      </w:r>
      <w:bookmarkStart w:id="9" w:name="_Hlk220587209"/>
      <w:r>
        <w:rPr>
          <w:sz w:val="21"/>
          <w:szCs w:val="21"/>
        </w:rPr>
        <w:t xml:space="preserve">Общая приведенная площадь Объекта </w:t>
      </w:r>
      <w:bookmarkEnd w:id="9"/>
      <w:r>
        <w:rPr>
          <w:sz w:val="21"/>
          <w:szCs w:val="21"/>
        </w:rPr>
        <w:t xml:space="preserve">превысит Проектную общую приведенную площадь Объекта </w:t>
      </w:r>
      <w:bookmarkStart w:id="10" w:name="_Hlk222153154"/>
      <w:r>
        <w:rPr>
          <w:sz w:val="21"/>
          <w:szCs w:val="21"/>
        </w:rPr>
        <w:t xml:space="preserve">более, чем на 0,30 кв.м., </w:t>
      </w:r>
      <w:bookmarkEnd w:id="10"/>
      <w:r>
        <w:rPr>
          <w:sz w:val="21"/>
          <w:szCs w:val="21"/>
        </w:rPr>
        <w:t>УЧАСТНИК обязуется доплатить разницу между Общей приведенной площадью Объекта и Проектной общей приведенной площадью Объекта, умноженную на стоимость 1 (Одного) квадратного метра площади Объекта долевого строительства (п. 4.2. Договора). УЧАСТНИК осуществляет доплату перечислением денежных средств на расчетный счет ЗАСТРОЙЩИКА в течение 30 (Тридцати) календарных дней со дня подписания между Сторонами Акта приема-передачи Объекта.</w:t>
      </w:r>
    </w:p>
    <w:p w14:paraId="22B25D26">
      <w:pPr>
        <w:spacing w:line="240" w:lineRule="auto"/>
        <w:ind w:right="-143" w:firstLine="709"/>
        <w:jc w:val="both"/>
        <w:rPr>
          <w:sz w:val="21"/>
          <w:szCs w:val="21"/>
        </w:rPr>
      </w:pPr>
      <w:r>
        <w:rPr>
          <w:sz w:val="21"/>
          <w:szCs w:val="21"/>
        </w:rPr>
        <w:t xml:space="preserve">В случае, если </w:t>
      </w:r>
      <w:bookmarkStart w:id="11" w:name="_Hlk222304957"/>
      <w:r>
        <w:rPr>
          <w:sz w:val="21"/>
          <w:szCs w:val="21"/>
        </w:rPr>
        <w:t xml:space="preserve">Общая приведенная площадь Объекта уменьшится относительно Проектной общей приведенной площади Объекта </w:t>
      </w:r>
      <w:bookmarkEnd w:id="11"/>
      <w:r>
        <w:rPr>
          <w:sz w:val="21"/>
          <w:szCs w:val="21"/>
        </w:rPr>
        <w:t xml:space="preserve">более, чем на 0,30 кв.м., ЗАСТРОЙЩИК возвращает УЧАСТНИКУ разницу между Проектной общей приведенной площадью Объекта и Общей приведенной площадью Объекта, умноженную на стоимость 1 (Одного) квадратного метра площади Объекта (п. 4.2. Договора). ЗАСТРОЙЩИК выплачивает денежные средства в течение </w:t>
      </w:r>
      <w:bookmarkStart w:id="12" w:name="_Hlk222484422"/>
      <w:r>
        <w:rPr>
          <w:sz w:val="21"/>
          <w:szCs w:val="21"/>
        </w:rPr>
        <w:t xml:space="preserve">30 (Тридцати) календарных дней </w:t>
      </w:r>
      <w:bookmarkEnd w:id="12"/>
      <w:r>
        <w:rPr>
          <w:sz w:val="21"/>
          <w:szCs w:val="21"/>
        </w:rPr>
        <w:t xml:space="preserve">со дня получения ЗАСТРОЙЩИКОМ письменного требования от УЧАСТНИКА. </w:t>
      </w:r>
    </w:p>
    <w:p w14:paraId="77A5FC4B">
      <w:pPr>
        <w:spacing w:line="240" w:lineRule="auto"/>
        <w:ind w:right="-143" w:firstLine="709"/>
        <w:jc w:val="both"/>
        <w:rPr>
          <w:bCs/>
          <w:sz w:val="21"/>
          <w:szCs w:val="21"/>
        </w:rPr>
      </w:pPr>
      <w:r>
        <w:rPr>
          <w:bCs/>
          <w:sz w:val="21"/>
          <w:szCs w:val="21"/>
        </w:rPr>
        <w:t>В случае, если разница между Общей приведенной площадью Объекта и Проектной общей приведенной площадью Объекта составит менее 0,30 кв.м., перерасчёт не производится, стороны подтверждают отсутствие претензий друг к другу.</w:t>
      </w:r>
    </w:p>
    <w:p w14:paraId="0F35367E">
      <w:pPr>
        <w:spacing w:line="240" w:lineRule="auto"/>
        <w:ind w:right="-143" w:firstLine="709"/>
        <w:jc w:val="both"/>
        <w:rPr>
          <w:bCs/>
          <w:sz w:val="21"/>
          <w:szCs w:val="21"/>
        </w:rPr>
      </w:pPr>
      <w:r>
        <w:rPr>
          <w:bCs/>
          <w:sz w:val="21"/>
          <w:szCs w:val="21"/>
        </w:rPr>
        <w:t>В любом случае, расчеты, указанные в настоящем пункте, производятся без использования счета эскроу, открытому в целях расчетов по настоящему Договору.</w:t>
      </w:r>
    </w:p>
    <w:p w14:paraId="63188D4C">
      <w:pPr>
        <w:spacing w:line="240" w:lineRule="auto"/>
        <w:ind w:right="-143" w:firstLine="709"/>
        <w:jc w:val="both"/>
        <w:rPr>
          <w:bCs/>
          <w:sz w:val="21"/>
          <w:szCs w:val="21"/>
        </w:rPr>
      </w:pPr>
      <w:r>
        <w:rPr>
          <w:bCs/>
          <w:sz w:val="21"/>
          <w:szCs w:val="21"/>
        </w:rPr>
        <w:t>4.6. Цена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на Объект, расходы по оплате услуг по технической инвентаризации Объекта.</w:t>
      </w:r>
    </w:p>
    <w:p w14:paraId="2E094390">
      <w:pPr>
        <w:spacing w:line="240" w:lineRule="auto"/>
        <w:ind w:right="-143" w:firstLine="709"/>
        <w:jc w:val="both"/>
        <w:rPr>
          <w:bCs/>
          <w:sz w:val="21"/>
          <w:szCs w:val="21"/>
        </w:rPr>
      </w:pPr>
    </w:p>
    <w:p w14:paraId="5F519917">
      <w:pPr>
        <w:spacing w:line="240" w:lineRule="auto"/>
        <w:ind w:right="-143" w:firstLine="709"/>
        <w:jc w:val="center"/>
        <w:rPr>
          <w:b/>
          <w:sz w:val="21"/>
          <w:szCs w:val="21"/>
        </w:rPr>
      </w:pPr>
      <w:r>
        <w:rPr>
          <w:b/>
          <w:sz w:val="21"/>
          <w:szCs w:val="21"/>
        </w:rPr>
        <w:t>5. СРОК И ПОРЯДОК ПЕРЕДАЧИ ОБЪЕКТА ДОЛЕВОГО СТРОИТЕЛЬСТВА</w:t>
      </w:r>
    </w:p>
    <w:p w14:paraId="1C55D2E7">
      <w:pPr>
        <w:spacing w:line="240" w:lineRule="auto"/>
        <w:ind w:right="-143" w:firstLine="709"/>
        <w:jc w:val="center"/>
        <w:rPr>
          <w:b/>
          <w:sz w:val="21"/>
          <w:szCs w:val="21"/>
        </w:rPr>
      </w:pPr>
    </w:p>
    <w:p w14:paraId="58EA2BD4">
      <w:pPr>
        <w:spacing w:line="240" w:lineRule="auto"/>
        <w:ind w:right="-143" w:firstLine="709"/>
        <w:jc w:val="both"/>
        <w:rPr>
          <w:bCs/>
          <w:sz w:val="21"/>
          <w:szCs w:val="21"/>
        </w:rPr>
      </w:pPr>
      <w:r>
        <w:rPr>
          <w:bCs/>
          <w:sz w:val="21"/>
          <w:szCs w:val="21"/>
        </w:rPr>
        <w:t xml:space="preserve">5.1. Предполагаемый срок получения разрешения на ввод Многоквартирного дома в эксплуатацию </w:t>
      </w:r>
      <w:r>
        <w:rPr>
          <w:bCs/>
          <w:sz w:val="21"/>
          <w:szCs w:val="21"/>
          <w:highlight w:val="none"/>
        </w:rPr>
        <w:t xml:space="preserve">– 2-й </w:t>
      </w:r>
      <w:r>
        <w:rPr>
          <w:bCs/>
          <w:sz w:val="21"/>
          <w:szCs w:val="21"/>
        </w:rPr>
        <w:t>квартал 2027 года.</w:t>
      </w:r>
    </w:p>
    <w:p w14:paraId="0CA1B210">
      <w:pPr>
        <w:spacing w:line="240" w:lineRule="auto"/>
        <w:ind w:right="-143" w:firstLine="709"/>
        <w:jc w:val="both"/>
        <w:rPr>
          <w:bCs/>
          <w:sz w:val="21"/>
          <w:szCs w:val="21"/>
        </w:rPr>
      </w:pPr>
      <w:r>
        <w:rPr>
          <w:bCs/>
          <w:sz w:val="21"/>
          <w:szCs w:val="21"/>
        </w:rPr>
        <w:t>Передача УЧАСТНИКУ Объекта и принятие его УЧАСТНИКОМ осуществляется по окончании строительства Многоквартирного дома и получения в установленном порядке разрешения на ввод его в эксплуатацию, но не позднее 31.08.2027 г.</w:t>
      </w:r>
    </w:p>
    <w:p w14:paraId="21C7E119">
      <w:pPr>
        <w:spacing w:line="240" w:lineRule="auto"/>
        <w:ind w:right="-143" w:firstLine="709"/>
        <w:jc w:val="both"/>
        <w:rPr>
          <w:bCs/>
          <w:sz w:val="21"/>
          <w:szCs w:val="21"/>
        </w:rPr>
      </w:pPr>
      <w:r>
        <w:rPr>
          <w:bCs/>
          <w:sz w:val="21"/>
          <w:szCs w:val="21"/>
        </w:rPr>
        <w:t xml:space="preserve">5.2. 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Многоквартирного дома. В этом случае УЧАСТНИК не вправе уклоняться от досрочной приемки Объекта. При досрочной передаче СТОРОНЫ применяют предусмотренный настоящим Договором порядок передачи и исполнения необходимых для передачи Объекта долевого строительства обязательств. </w:t>
      </w:r>
    </w:p>
    <w:p w14:paraId="21AFBBBE">
      <w:pPr>
        <w:spacing w:line="240" w:lineRule="auto"/>
        <w:ind w:right="-143" w:firstLine="709"/>
        <w:jc w:val="both"/>
        <w:rPr>
          <w:bCs/>
          <w:sz w:val="21"/>
          <w:szCs w:val="21"/>
        </w:rPr>
      </w:pPr>
      <w:r>
        <w:rPr>
          <w:bCs/>
          <w:sz w:val="21"/>
          <w:szCs w:val="21"/>
        </w:rPr>
        <w:t xml:space="preserve">5.3. Объект передается УЧАСТНИКУ при условии полного и надлежащего исполнения им обязательств по оплате цены Договора </w:t>
      </w:r>
      <w:bookmarkStart w:id="13" w:name="_Hlk222482374"/>
      <w:r>
        <w:rPr>
          <w:bCs/>
          <w:sz w:val="21"/>
          <w:szCs w:val="21"/>
        </w:rPr>
        <w:t>в размере, указанном в пункте 4.2. Договора</w:t>
      </w:r>
      <w:bookmarkEnd w:id="13"/>
      <w:r>
        <w:rPr>
          <w:bCs/>
          <w:sz w:val="21"/>
          <w:szCs w:val="21"/>
        </w:rPr>
        <w:t xml:space="preserve">, </w:t>
      </w:r>
      <w:bookmarkStart w:id="14" w:name="_Hlk222483431"/>
      <w:r>
        <w:rPr>
          <w:bCs/>
          <w:sz w:val="21"/>
          <w:szCs w:val="21"/>
        </w:rPr>
        <w:t>вне зависимости от исполнения обязательств по пункту 4.5. Договора.</w:t>
      </w:r>
      <w:bookmarkEnd w:id="14"/>
    </w:p>
    <w:p w14:paraId="57B24E39">
      <w:pPr>
        <w:spacing w:line="240" w:lineRule="auto"/>
        <w:ind w:right="-143" w:firstLine="709"/>
        <w:jc w:val="both"/>
        <w:rPr>
          <w:bCs/>
          <w:sz w:val="21"/>
          <w:szCs w:val="21"/>
        </w:rPr>
      </w:pPr>
      <w:r>
        <w:rPr>
          <w:bCs/>
          <w:sz w:val="21"/>
          <w:szCs w:val="21"/>
        </w:rPr>
        <w:t xml:space="preserve">5.4. Фактически передаваемая площадь в Объекте определяется на основании данных технической инвентаризации. </w:t>
      </w:r>
    </w:p>
    <w:p w14:paraId="2990CD0D">
      <w:pPr>
        <w:spacing w:line="240" w:lineRule="auto"/>
        <w:ind w:right="-143" w:firstLine="709"/>
        <w:jc w:val="both"/>
        <w:rPr>
          <w:bCs/>
          <w:sz w:val="21"/>
          <w:szCs w:val="21"/>
        </w:rPr>
      </w:pPr>
      <w:r>
        <w:rPr>
          <w:bCs/>
          <w:sz w:val="21"/>
          <w:szCs w:val="21"/>
        </w:rPr>
        <w:t>5.5. При условии выполнения УЧАСТНИКОМ своих обязательств по оплате Цены в размере, указанном в пункте 4.2. Договора,</w:t>
      </w:r>
      <w:r>
        <w:rPr>
          <w:sz w:val="21"/>
          <w:szCs w:val="21"/>
        </w:rPr>
        <w:t xml:space="preserve"> </w:t>
      </w:r>
      <w:r>
        <w:rPr>
          <w:bCs/>
          <w:sz w:val="21"/>
          <w:szCs w:val="21"/>
        </w:rPr>
        <w:t>вне зависимости от исполнения обязательств по пункту 4.5. Договора, ЗАСТРОЙЩИК обязуется передать, а УЧАСТНИК принять Объект долевого строительства по Акту приема-передачи, далее – Акт.</w:t>
      </w:r>
    </w:p>
    <w:p w14:paraId="1B86022D">
      <w:pPr>
        <w:spacing w:line="240" w:lineRule="auto"/>
        <w:ind w:right="-143" w:firstLine="709"/>
        <w:jc w:val="both"/>
        <w:rPr>
          <w:bCs/>
          <w:sz w:val="21"/>
          <w:szCs w:val="21"/>
        </w:rPr>
      </w:pPr>
      <w:r>
        <w:rPr>
          <w:bCs/>
          <w:sz w:val="21"/>
          <w:szCs w:val="21"/>
        </w:rPr>
        <w:t>Приемка Объекта долевого строительства производится в течение 7 (Семи) календарных дней с момента получения сообщения от ЗАСТРОЙЩИКА о завершении строительства Многоквартирного дома и о готовности Объекта к передаче, далее – сообщение о завершении.</w:t>
      </w:r>
    </w:p>
    <w:p w14:paraId="7F0E4A8A">
      <w:pPr>
        <w:keepNext/>
        <w:spacing w:line="240" w:lineRule="auto"/>
        <w:ind w:right="-143" w:firstLine="567"/>
        <w:jc w:val="both"/>
        <w:outlineLvl w:val="0"/>
        <w:rPr>
          <w:bCs/>
          <w:sz w:val="21"/>
          <w:szCs w:val="21"/>
        </w:rPr>
      </w:pPr>
      <w:r>
        <w:rPr>
          <w:bCs/>
          <w:sz w:val="21"/>
          <w:szCs w:val="21"/>
        </w:rPr>
        <w:t>5.6.</w:t>
      </w:r>
      <w:r>
        <w:rPr>
          <w:bCs/>
          <w:sz w:val="21"/>
          <w:szCs w:val="21"/>
        </w:rPr>
        <w:tab/>
      </w:r>
      <w:r>
        <w:rPr>
          <w:bCs/>
          <w:sz w:val="21"/>
          <w:szCs w:val="21"/>
        </w:rPr>
        <w:t>В Акте указываются:</w:t>
      </w:r>
    </w:p>
    <w:p w14:paraId="624E9A4C">
      <w:pPr>
        <w:keepNext/>
        <w:spacing w:line="240" w:lineRule="auto"/>
        <w:ind w:right="-143" w:firstLine="709"/>
        <w:jc w:val="both"/>
        <w:outlineLvl w:val="0"/>
        <w:rPr>
          <w:bCs/>
          <w:sz w:val="21"/>
          <w:szCs w:val="21"/>
        </w:rPr>
      </w:pPr>
      <w:r>
        <w:rPr>
          <w:bCs/>
          <w:sz w:val="21"/>
          <w:szCs w:val="21"/>
        </w:rPr>
        <w:t>•</w:t>
      </w:r>
      <w:r>
        <w:rPr>
          <w:bCs/>
          <w:sz w:val="21"/>
          <w:szCs w:val="21"/>
        </w:rPr>
        <w:tab/>
      </w:r>
      <w:r>
        <w:rPr>
          <w:bCs/>
          <w:sz w:val="21"/>
          <w:szCs w:val="21"/>
        </w:rPr>
        <w:t>дата передачи,</w:t>
      </w:r>
    </w:p>
    <w:p w14:paraId="7C8253B6">
      <w:pPr>
        <w:keepNext/>
        <w:spacing w:line="240" w:lineRule="auto"/>
        <w:ind w:right="-143" w:firstLine="709"/>
        <w:jc w:val="both"/>
        <w:outlineLvl w:val="0"/>
        <w:rPr>
          <w:bCs/>
          <w:sz w:val="21"/>
          <w:szCs w:val="21"/>
        </w:rPr>
      </w:pPr>
      <w:r>
        <w:rPr>
          <w:bCs/>
          <w:sz w:val="21"/>
          <w:szCs w:val="21"/>
        </w:rPr>
        <w:t>•</w:t>
      </w:r>
      <w:r>
        <w:rPr>
          <w:bCs/>
          <w:sz w:val="21"/>
          <w:szCs w:val="21"/>
        </w:rPr>
        <w:tab/>
      </w:r>
      <w:r>
        <w:rPr>
          <w:bCs/>
          <w:sz w:val="21"/>
          <w:szCs w:val="21"/>
        </w:rPr>
        <w:t xml:space="preserve">основные характеристики Объекта в соответствии с п. 1 ч. 4 ст. 4 ФЗ </w:t>
      </w:r>
      <w:bookmarkStart w:id="15" w:name="_Hlk222241728"/>
      <w:r>
        <w:rPr>
          <w:bCs/>
          <w:sz w:val="21"/>
          <w:szCs w:val="21"/>
        </w:rPr>
        <w:t xml:space="preserve">№ 214-ФЗ, </w:t>
      </w:r>
      <w:bookmarkEnd w:id="15"/>
    </w:p>
    <w:p w14:paraId="2ED261DB">
      <w:pPr>
        <w:keepNext/>
        <w:spacing w:line="240" w:lineRule="auto"/>
        <w:ind w:right="-143" w:firstLine="709"/>
        <w:jc w:val="both"/>
        <w:outlineLvl w:val="0"/>
        <w:rPr>
          <w:bCs/>
          <w:sz w:val="21"/>
          <w:szCs w:val="21"/>
        </w:rPr>
      </w:pPr>
      <w:r>
        <w:rPr>
          <w:bCs/>
          <w:sz w:val="21"/>
          <w:szCs w:val="21"/>
        </w:rPr>
        <w:t>•</w:t>
      </w:r>
      <w:r>
        <w:rPr>
          <w:bCs/>
          <w:sz w:val="21"/>
          <w:szCs w:val="21"/>
        </w:rPr>
        <w:tab/>
      </w:r>
      <w:r>
        <w:rPr>
          <w:bCs/>
          <w:sz w:val="21"/>
          <w:szCs w:val="21"/>
        </w:rPr>
        <w:t xml:space="preserve">иная, по усмотрению Сторон, информация. </w:t>
      </w:r>
    </w:p>
    <w:p w14:paraId="5800E865">
      <w:pPr>
        <w:keepNext/>
        <w:spacing w:line="240" w:lineRule="auto"/>
        <w:ind w:right="-143" w:firstLine="709"/>
        <w:jc w:val="both"/>
        <w:outlineLvl w:val="0"/>
        <w:rPr>
          <w:bCs/>
          <w:sz w:val="21"/>
          <w:szCs w:val="21"/>
        </w:rPr>
      </w:pPr>
      <w:r>
        <w:rPr>
          <w:bCs/>
          <w:sz w:val="21"/>
          <w:szCs w:val="21"/>
        </w:rPr>
        <w:t>К Акту прилагается Инструкция по эксплуатации Объекта долевого строительства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35E062BA">
      <w:pPr>
        <w:keepNext/>
        <w:spacing w:line="240" w:lineRule="auto"/>
        <w:ind w:right="-143" w:firstLine="709"/>
        <w:jc w:val="both"/>
        <w:outlineLvl w:val="0"/>
        <w:rPr>
          <w:bCs/>
          <w:sz w:val="21"/>
          <w:szCs w:val="21"/>
        </w:rPr>
      </w:pPr>
      <w:r>
        <w:rPr>
          <w:bCs/>
          <w:sz w:val="21"/>
          <w:szCs w:val="21"/>
        </w:rPr>
        <w:t>При наличии у УЧАСТНИКА каких-либо замечаний к Объекту, Стороны подписывают Акт осмотра квартиры, фиксирующий все имеющиеся у УЧАСТНИКА замечания к Объекту долевого строительства.</w:t>
      </w:r>
    </w:p>
    <w:p w14:paraId="5A4843EB">
      <w:pPr>
        <w:keepNext/>
        <w:spacing w:line="240" w:lineRule="auto"/>
        <w:ind w:right="-143" w:firstLine="709"/>
        <w:jc w:val="both"/>
        <w:outlineLvl w:val="0"/>
        <w:rPr>
          <w:bCs/>
          <w:sz w:val="21"/>
          <w:szCs w:val="21"/>
        </w:rPr>
      </w:pPr>
      <w:r>
        <w:rPr>
          <w:bCs/>
          <w:sz w:val="21"/>
          <w:szCs w:val="21"/>
        </w:rPr>
        <w:t xml:space="preserve">ЗАСТРОЙЩИК обязан рассмотреть требования УЧАСТНИКА и устранить обоснованные замечания в срок, установленный ЗАСТРОЙЩИКОМ, который не может превышать 60 (Шестьдесят) календарных дней с даты составления Акта осмотра квартиры и предоставления его ЗАСТРОЙЩИКУ. После устранения перечисленных в Акте осмотра квартиры несоответствий и/или недоделок УЧАСТНИК обязан принять Объект долевого строительства в срок не позднее 7 (Семи) рабочих дней со дня получения соответствующего уведомления, которое может быть сделано, в том числе посредством направления </w:t>
      </w:r>
      <w:bookmarkStart w:id="16" w:name="_Hlk222482570"/>
      <w:r>
        <w:rPr>
          <w:bCs/>
          <w:sz w:val="21"/>
          <w:szCs w:val="21"/>
        </w:rPr>
        <w:t>УЧАСТНИКУ по электронной почте, или смс-сообщением на номер телефона, или мессенджер, указанные в пункте 14.2. Договора.</w:t>
      </w:r>
    </w:p>
    <w:bookmarkEnd w:id="16"/>
    <w:p w14:paraId="05BA9A36">
      <w:pPr>
        <w:keepNext/>
        <w:spacing w:line="240" w:lineRule="auto"/>
        <w:ind w:right="-143" w:firstLine="567"/>
        <w:jc w:val="both"/>
        <w:outlineLvl w:val="0"/>
        <w:rPr>
          <w:bCs/>
          <w:sz w:val="21"/>
          <w:szCs w:val="21"/>
        </w:rPr>
      </w:pPr>
      <w:r>
        <w:rPr>
          <w:bCs/>
          <w:sz w:val="21"/>
          <w:szCs w:val="21"/>
        </w:rPr>
        <w:t xml:space="preserve">5.7. С момента передачи Объекта УЧАСТНИКУ, включая передачу Объекта в одностороннем порядке, ЗАСТРОЙЩИК не несет расходов на управление и эксплуатацию Многоквартирного дома в доле, соответствующей доле площади Объекта в общей площади Многоквартирного дома. </w:t>
      </w:r>
    </w:p>
    <w:p w14:paraId="2C360F54">
      <w:pPr>
        <w:keepNext/>
        <w:spacing w:line="240" w:lineRule="auto"/>
        <w:ind w:right="-143" w:firstLine="567"/>
        <w:jc w:val="both"/>
        <w:outlineLvl w:val="0"/>
        <w:rPr>
          <w:bCs/>
          <w:sz w:val="21"/>
          <w:szCs w:val="21"/>
        </w:rPr>
      </w:pPr>
    </w:p>
    <w:p w14:paraId="2824C55F">
      <w:pPr>
        <w:spacing w:line="240" w:lineRule="auto"/>
        <w:ind w:right="-143" w:firstLine="709"/>
        <w:jc w:val="center"/>
        <w:rPr>
          <w:sz w:val="21"/>
          <w:szCs w:val="21"/>
        </w:rPr>
      </w:pPr>
      <w:r>
        <w:rPr>
          <w:b/>
          <w:sz w:val="21"/>
          <w:szCs w:val="21"/>
        </w:rPr>
        <w:t>6. ОБЯЗАННОСТИ СТОРОН</w:t>
      </w:r>
    </w:p>
    <w:p w14:paraId="25B49E96">
      <w:pPr>
        <w:spacing w:line="240" w:lineRule="auto"/>
        <w:ind w:right="-143" w:firstLine="567"/>
        <w:jc w:val="both"/>
        <w:rPr>
          <w:sz w:val="21"/>
          <w:szCs w:val="21"/>
        </w:rPr>
      </w:pPr>
      <w:r>
        <w:rPr>
          <w:sz w:val="21"/>
          <w:szCs w:val="21"/>
        </w:rPr>
        <w:t>6.1.</w:t>
      </w:r>
      <w:r>
        <w:rPr>
          <w:b/>
          <w:sz w:val="21"/>
          <w:szCs w:val="21"/>
        </w:rPr>
        <w:t xml:space="preserve"> ЗАСТРОЙЩИК</w:t>
      </w:r>
      <w:r>
        <w:rPr>
          <w:sz w:val="21"/>
          <w:szCs w:val="21"/>
        </w:rPr>
        <w:t xml:space="preserve"> обязан:</w:t>
      </w:r>
    </w:p>
    <w:p w14:paraId="1D34A880">
      <w:pPr>
        <w:widowControl/>
        <w:tabs>
          <w:tab w:val="left" w:pos="360"/>
        </w:tabs>
        <w:spacing w:line="240" w:lineRule="auto"/>
        <w:ind w:right="-143" w:firstLine="567"/>
        <w:jc w:val="both"/>
        <w:rPr>
          <w:sz w:val="21"/>
          <w:szCs w:val="21"/>
        </w:rPr>
      </w:pPr>
      <w:r>
        <w:rPr>
          <w:sz w:val="21"/>
          <w:szCs w:val="21"/>
        </w:rPr>
        <w:t>6.1.1. Осуществить строительство и ввод в эксплуатацию Многоквартирного дома на условиях и в срок, изложенные в настоящем Договоре.</w:t>
      </w:r>
    </w:p>
    <w:p w14:paraId="0D7630F2">
      <w:pPr>
        <w:widowControl/>
        <w:tabs>
          <w:tab w:val="left" w:pos="360"/>
        </w:tabs>
        <w:spacing w:line="240" w:lineRule="auto"/>
        <w:ind w:right="-143" w:firstLine="567"/>
        <w:jc w:val="both"/>
        <w:rPr>
          <w:b/>
          <w:sz w:val="21"/>
          <w:szCs w:val="21"/>
        </w:rPr>
      </w:pPr>
      <w:r>
        <w:rPr>
          <w:sz w:val="21"/>
          <w:szCs w:val="21"/>
        </w:rPr>
        <w:t>6.1.2. Уведомить УЧАСТНИКА о сроках и условиях приемки ими Объекта долевого строительства от ЗАСТРОЙЩИКА. Уведомление УЧАСТНИКУ направляется по почте письмом с описью вложения и почтовым уведомлением о вручении по почтовому адресу, указанному в реквизитах настоящего договора, или может быть вручено УЧАСТНИКУ лично под расписку, или направлено УЧАСТНИКУ по электронной почте, или смс-сообщением на номер телефона, или мессенджер, указанные в пункте 14.2. Договора.</w:t>
      </w:r>
    </w:p>
    <w:p w14:paraId="5AC028A2">
      <w:pPr>
        <w:widowControl/>
        <w:spacing w:line="240" w:lineRule="auto"/>
        <w:ind w:right="-143" w:firstLine="567"/>
        <w:jc w:val="both"/>
        <w:rPr>
          <w:sz w:val="21"/>
          <w:szCs w:val="21"/>
        </w:rPr>
      </w:pPr>
      <w:r>
        <w:rPr>
          <w:sz w:val="21"/>
          <w:szCs w:val="21"/>
        </w:rPr>
        <w:t xml:space="preserve">6.1.3. Передать Объект долевого строительства </w:t>
      </w:r>
      <w:r>
        <w:rPr>
          <w:b/>
          <w:sz w:val="21"/>
          <w:szCs w:val="21"/>
        </w:rPr>
        <w:t xml:space="preserve">УЧАСТНИКУ </w:t>
      </w:r>
      <w:r>
        <w:rPr>
          <w:sz w:val="21"/>
          <w:szCs w:val="21"/>
        </w:rPr>
        <w:t>не позднее срока, указанного в п. 5.1. настоящего Договора.</w:t>
      </w:r>
    </w:p>
    <w:p w14:paraId="72F06745">
      <w:pPr>
        <w:widowControl/>
        <w:spacing w:line="240" w:lineRule="auto"/>
        <w:ind w:right="-143" w:firstLine="567"/>
        <w:jc w:val="both"/>
        <w:rPr>
          <w:sz w:val="21"/>
          <w:szCs w:val="21"/>
        </w:rPr>
      </w:pPr>
      <w:r>
        <w:rPr>
          <w:sz w:val="21"/>
          <w:szCs w:val="21"/>
        </w:rPr>
        <w:t xml:space="preserve">6.1.4. В случае, если строительство Многоквартирного дома не может быть завершено в предусмотренный п. 5.1. настоящего Договора срок, не позднее, чем за два месяца до истечения указанного срока направить </w:t>
      </w:r>
      <w:r>
        <w:rPr>
          <w:b/>
          <w:sz w:val="21"/>
          <w:szCs w:val="21"/>
        </w:rPr>
        <w:t>УЧАСТНИКУ</w:t>
      </w:r>
      <w:r>
        <w:rPr>
          <w:sz w:val="21"/>
          <w:szCs w:val="21"/>
        </w:rPr>
        <w:t xml:space="preserve"> соответствующую информацию и предложение об изменении условий настоящего Договора.</w:t>
      </w:r>
    </w:p>
    <w:p w14:paraId="7A3CA5C8">
      <w:pPr>
        <w:spacing w:line="240" w:lineRule="auto"/>
        <w:ind w:right="-143" w:firstLine="709"/>
        <w:jc w:val="both"/>
        <w:rPr>
          <w:sz w:val="21"/>
          <w:szCs w:val="21"/>
        </w:rPr>
      </w:pPr>
      <w:r>
        <w:rPr>
          <w:sz w:val="21"/>
          <w:szCs w:val="21"/>
        </w:rPr>
        <w:t xml:space="preserve">6.2. </w:t>
      </w:r>
      <w:r>
        <w:rPr>
          <w:b/>
          <w:sz w:val="21"/>
          <w:szCs w:val="21"/>
        </w:rPr>
        <w:t xml:space="preserve">УЧАСТНИК </w:t>
      </w:r>
      <w:r>
        <w:rPr>
          <w:sz w:val="21"/>
          <w:szCs w:val="21"/>
        </w:rPr>
        <w:t>обязан:</w:t>
      </w:r>
    </w:p>
    <w:p w14:paraId="331522C5">
      <w:pPr>
        <w:spacing w:line="240" w:lineRule="auto"/>
        <w:ind w:right="-143" w:firstLine="709"/>
        <w:jc w:val="both"/>
        <w:rPr>
          <w:sz w:val="21"/>
          <w:szCs w:val="21"/>
        </w:rPr>
      </w:pPr>
      <w:r>
        <w:rPr>
          <w:sz w:val="21"/>
          <w:szCs w:val="21"/>
        </w:rPr>
        <w:t>6.2.1. Уплачивать денежные средства в размерах и порядке, установленных настоящим Договором.</w:t>
      </w:r>
    </w:p>
    <w:p w14:paraId="359B0826">
      <w:pPr>
        <w:widowControl/>
        <w:tabs>
          <w:tab w:val="left" w:pos="360"/>
        </w:tabs>
        <w:spacing w:line="240" w:lineRule="auto"/>
        <w:ind w:right="-143" w:firstLine="709"/>
        <w:jc w:val="both"/>
        <w:rPr>
          <w:sz w:val="21"/>
          <w:szCs w:val="21"/>
        </w:rPr>
      </w:pPr>
      <w:r>
        <w:rPr>
          <w:sz w:val="21"/>
          <w:szCs w:val="21"/>
        </w:rPr>
        <w:t xml:space="preserve">6.2.2. В случае отсутствия возражений, в соответствии с ч.1 ст.7 № 214-ФЗ принять от </w:t>
      </w:r>
      <w:r>
        <w:rPr>
          <w:b/>
          <w:sz w:val="21"/>
          <w:szCs w:val="21"/>
        </w:rPr>
        <w:t xml:space="preserve">ЗАСТРОЙЩИКА </w:t>
      </w:r>
      <w:r>
        <w:rPr>
          <w:sz w:val="21"/>
          <w:szCs w:val="21"/>
        </w:rPr>
        <w:t xml:space="preserve">Объект долевого строительства в 7-дневный срок с момента получения письменного уведомления от </w:t>
      </w:r>
      <w:r>
        <w:rPr>
          <w:b/>
          <w:sz w:val="21"/>
          <w:szCs w:val="21"/>
        </w:rPr>
        <w:t>ЗАСТРОЙЩИКА</w:t>
      </w:r>
      <w:r>
        <w:rPr>
          <w:sz w:val="21"/>
          <w:szCs w:val="21"/>
        </w:rPr>
        <w:t>.</w:t>
      </w:r>
    </w:p>
    <w:p w14:paraId="5EF2B031">
      <w:pPr>
        <w:widowControl/>
        <w:tabs>
          <w:tab w:val="left" w:pos="360"/>
        </w:tabs>
        <w:spacing w:line="240" w:lineRule="auto"/>
        <w:ind w:right="-143" w:firstLine="709"/>
        <w:jc w:val="both"/>
        <w:rPr>
          <w:sz w:val="21"/>
          <w:szCs w:val="21"/>
        </w:rPr>
      </w:pPr>
      <w:r>
        <w:rPr>
          <w:sz w:val="21"/>
          <w:szCs w:val="21"/>
        </w:rPr>
        <w:t>6.2.3. Нести расходы, подлежащие уплате УЧАСТНИКОМ долевого строительства в соответствии с ФЗ «О государственной регистрации недвижимости» и налоговым законодательством, в том числе (но не ограничиваясь):</w:t>
      </w:r>
    </w:p>
    <w:p w14:paraId="1F5E3653">
      <w:pPr>
        <w:widowControl/>
        <w:tabs>
          <w:tab w:val="left" w:pos="360"/>
        </w:tabs>
        <w:spacing w:line="240" w:lineRule="auto"/>
        <w:ind w:right="-143" w:firstLine="709"/>
        <w:jc w:val="both"/>
        <w:rPr>
          <w:sz w:val="21"/>
          <w:szCs w:val="21"/>
        </w:rPr>
      </w:pPr>
      <w:r>
        <w:rPr>
          <w:sz w:val="21"/>
          <w:szCs w:val="21"/>
        </w:rPr>
        <w:t>- по оплате государственной пошлины за регистрацию дополнительных соглашений к настоящему договору (в случае их заключения) в Управлении Федеральной службы государственной регистрации, кадастра и картографии по Республике Татарстан;</w:t>
      </w:r>
    </w:p>
    <w:p w14:paraId="69388F59">
      <w:pPr>
        <w:widowControl/>
        <w:tabs>
          <w:tab w:val="left" w:pos="360"/>
        </w:tabs>
        <w:spacing w:line="240" w:lineRule="auto"/>
        <w:ind w:right="-143" w:firstLine="709"/>
        <w:jc w:val="both"/>
        <w:rPr>
          <w:sz w:val="21"/>
          <w:szCs w:val="21"/>
        </w:rPr>
      </w:pPr>
      <w:r>
        <w:rPr>
          <w:sz w:val="21"/>
          <w:szCs w:val="21"/>
        </w:rPr>
        <w:t>- по оплате государственной пошлины за регистрацию права собственности на Объект в Управлении Федеральной службы государственной регистрации, кадастра и картографии по Республике Татарстан.</w:t>
      </w:r>
    </w:p>
    <w:p w14:paraId="346A7B05">
      <w:pPr>
        <w:widowControl/>
        <w:tabs>
          <w:tab w:val="left" w:pos="426"/>
        </w:tabs>
        <w:spacing w:line="240" w:lineRule="auto"/>
        <w:ind w:right="-143"/>
        <w:jc w:val="both"/>
        <w:rPr>
          <w:sz w:val="21"/>
          <w:szCs w:val="21"/>
        </w:rPr>
      </w:pPr>
      <w:r>
        <w:rPr>
          <w:sz w:val="21"/>
          <w:szCs w:val="21"/>
        </w:rPr>
        <w:t xml:space="preserve">6.2.4. На момент подписания настоящего Договора представить </w:t>
      </w:r>
      <w:r>
        <w:rPr>
          <w:b/>
          <w:sz w:val="21"/>
          <w:szCs w:val="21"/>
        </w:rPr>
        <w:t>ЗАСТРОЙЩИКУ</w:t>
      </w:r>
      <w:r>
        <w:rPr>
          <w:sz w:val="21"/>
          <w:szCs w:val="21"/>
        </w:rPr>
        <w:t>: действительный паспорт (оригинал и ксерокопию), а также его нотариально заверенный перевод в случае необходимости, нотариально заверенное согласие супруга(и) на приобретение недвижимости или нотариально заверенное заявление об отсутствии зарегистрированного брака (оригинал и нотариально заверенную копию), для юридических лиц - нотариально заверенные копии учредительных документов (устава, учредительного договора, а также всех изменений к ним), нотариально заверенные копии свидетельства о государственной регистрации, свидетельства о постановке на налоговый учет, надлежащим образом заверенную копию протокола о назначении руководителя организации (в случае, если Договор подписывает не руководитель – нотариальную доверенность на лицо подписывающее Договор), протокол об одобрении сделки (в случае необходимости).</w:t>
      </w:r>
    </w:p>
    <w:p w14:paraId="7D0B08A4">
      <w:pPr>
        <w:pStyle w:val="40"/>
        <w:widowControl/>
        <w:tabs>
          <w:tab w:val="left" w:pos="426"/>
        </w:tabs>
        <w:spacing w:line="240" w:lineRule="auto"/>
        <w:ind w:left="0" w:right="-143" w:firstLine="709"/>
        <w:jc w:val="both"/>
        <w:rPr>
          <w:sz w:val="21"/>
          <w:szCs w:val="21"/>
        </w:rPr>
      </w:pPr>
    </w:p>
    <w:p w14:paraId="2B576C7F">
      <w:pPr>
        <w:spacing w:line="240" w:lineRule="auto"/>
        <w:ind w:right="-143" w:firstLine="709"/>
        <w:jc w:val="center"/>
        <w:rPr>
          <w:sz w:val="21"/>
          <w:szCs w:val="21"/>
        </w:rPr>
      </w:pPr>
      <w:r>
        <w:rPr>
          <w:b/>
          <w:sz w:val="21"/>
          <w:szCs w:val="21"/>
        </w:rPr>
        <w:t>7. ГАРАНТИИ КАЧЕСТВА</w:t>
      </w:r>
    </w:p>
    <w:p w14:paraId="53EA13C9">
      <w:pPr>
        <w:spacing w:line="240" w:lineRule="auto"/>
        <w:ind w:right="-143" w:firstLine="709"/>
        <w:jc w:val="center"/>
        <w:rPr>
          <w:b/>
          <w:sz w:val="21"/>
          <w:szCs w:val="21"/>
        </w:rPr>
      </w:pPr>
    </w:p>
    <w:p w14:paraId="7F99C34E">
      <w:pPr>
        <w:pStyle w:val="12"/>
        <w:widowControl/>
        <w:suppressAutoHyphens w:val="0"/>
        <w:spacing w:before="0"/>
        <w:ind w:firstLine="709"/>
        <w:rPr>
          <w:b/>
          <w:bCs/>
          <w:color w:val="000000"/>
          <w:sz w:val="21"/>
          <w:szCs w:val="21"/>
          <w:lang w:eastAsia="ru-RU"/>
        </w:rPr>
      </w:pPr>
      <w:r>
        <w:rPr>
          <w:sz w:val="21"/>
          <w:szCs w:val="21"/>
        </w:rPr>
        <w:t xml:space="preserve">7.1. </w:t>
      </w:r>
      <w:r>
        <w:rPr>
          <w:color w:val="000000"/>
          <w:sz w:val="21"/>
          <w:szCs w:val="21"/>
          <w:lang w:eastAsia="ru-RU"/>
        </w:rPr>
        <w:t>Стороны исходят из того, что Разрешение на ввод Многоквартирного дома в эксплуатацию является свидетельством соответствия Объекта долевого строительства проекту, строительно-техническим нормам и правилам.</w:t>
      </w:r>
    </w:p>
    <w:p w14:paraId="48E68271">
      <w:pPr>
        <w:widowControl/>
        <w:tabs>
          <w:tab w:val="left" w:pos="567"/>
        </w:tabs>
        <w:suppressAutoHyphens w:val="0"/>
        <w:spacing w:line="240" w:lineRule="auto"/>
        <w:ind w:firstLine="709"/>
        <w:jc w:val="both"/>
        <w:rPr>
          <w:color w:val="000000"/>
          <w:sz w:val="21"/>
          <w:szCs w:val="21"/>
          <w:lang w:eastAsia="ru-RU"/>
        </w:rPr>
      </w:pPr>
      <w:r>
        <w:rPr>
          <w:color w:val="000000"/>
          <w:sz w:val="21"/>
          <w:szCs w:val="21"/>
          <w:lang w:eastAsia="ru-RU"/>
        </w:rPr>
        <w:t xml:space="preserve">7.2.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со дня передачи Объекта долевого строительства. </w:t>
      </w:r>
    </w:p>
    <w:p w14:paraId="4E2713AC">
      <w:pPr>
        <w:widowControl/>
        <w:tabs>
          <w:tab w:val="left" w:pos="567"/>
        </w:tabs>
        <w:suppressAutoHyphens w:val="0"/>
        <w:spacing w:line="240" w:lineRule="auto"/>
        <w:ind w:firstLine="709"/>
        <w:jc w:val="both"/>
        <w:rPr>
          <w:color w:val="000000"/>
          <w:sz w:val="21"/>
          <w:szCs w:val="21"/>
          <w:lang w:eastAsia="ru-RU"/>
        </w:rPr>
      </w:pPr>
      <w:r>
        <w:rPr>
          <w:color w:val="000000"/>
          <w:sz w:val="21"/>
          <w:szCs w:val="21"/>
          <w:lang w:eastAsia="ru-RU"/>
        </w:rPr>
        <w:t>7.3.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Акта приема-передачи или иного документа о передаче Объекта долевого строительства.</w:t>
      </w:r>
    </w:p>
    <w:p w14:paraId="4C2A9988">
      <w:pPr>
        <w:widowControl/>
        <w:tabs>
          <w:tab w:val="left" w:pos="567"/>
        </w:tabs>
        <w:suppressAutoHyphens w:val="0"/>
        <w:spacing w:line="240" w:lineRule="auto"/>
        <w:ind w:firstLine="709"/>
        <w:jc w:val="both"/>
        <w:rPr>
          <w:color w:val="000000"/>
          <w:sz w:val="21"/>
          <w:szCs w:val="21"/>
          <w:lang w:eastAsia="ru-RU"/>
        </w:rPr>
      </w:pPr>
      <w:r>
        <w:rPr>
          <w:color w:val="000000"/>
          <w:sz w:val="21"/>
          <w:szCs w:val="21"/>
          <w:lang w:eastAsia="ru-RU"/>
        </w:rPr>
        <w:t xml:space="preserve">7.4. Гарантийный срок на внутреннюю отделку в объеме Приложения № 2 составляет 1 (Один) год со дня передачи Объекта долевого строительства. </w:t>
      </w:r>
    </w:p>
    <w:p w14:paraId="1950CD67">
      <w:pPr>
        <w:widowControl/>
        <w:tabs>
          <w:tab w:val="left" w:pos="567"/>
        </w:tabs>
        <w:suppressAutoHyphens w:val="0"/>
        <w:spacing w:line="240" w:lineRule="auto"/>
        <w:ind w:firstLine="709"/>
        <w:jc w:val="both"/>
        <w:rPr>
          <w:color w:val="000000"/>
          <w:sz w:val="21"/>
          <w:szCs w:val="21"/>
          <w:lang w:eastAsia="ru-RU"/>
        </w:rPr>
      </w:pPr>
      <w:r>
        <w:rPr>
          <w:color w:val="000000"/>
          <w:sz w:val="21"/>
          <w:szCs w:val="21"/>
          <w:lang w:eastAsia="ru-RU"/>
        </w:rPr>
        <w:t xml:space="preserve">7.5. В случае, если Объект долевого строительства построен ЗАСТРОЙЩИКОМ с отступлением от условий Договора и требований технических регламентов, проектной документации и иных обязательных требований, приведшим к ухудшению его качества, или с иными недостатками, которые делают его непригодным для предусмотренного настоящим Договором использования, УЧАСТНИК вправе потребовать от ЗАСТРОЙЩИКА в досудебном порядке безвозмездного устранения недостатков в разумный срок, который составляет 45 (сорок пять) календарных дней с момента получения ЗАСТРОЙЩИКОМ требования УЧАСТНИКА по электронной почте, указанной в пункте 14.1. Договора.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4BE49779">
      <w:pPr>
        <w:widowControl/>
        <w:tabs>
          <w:tab w:val="left" w:pos="567"/>
        </w:tabs>
        <w:suppressAutoHyphens w:val="0"/>
        <w:spacing w:line="240" w:lineRule="auto"/>
        <w:ind w:firstLine="709"/>
        <w:jc w:val="both"/>
        <w:rPr>
          <w:color w:val="000000"/>
          <w:sz w:val="21"/>
          <w:szCs w:val="21"/>
          <w:lang w:eastAsia="ru-RU"/>
        </w:rPr>
      </w:pPr>
      <w:r>
        <w:rPr>
          <w:color w:val="000000"/>
          <w:sz w:val="21"/>
          <w:szCs w:val="21"/>
          <w:lang w:eastAsia="ru-RU"/>
        </w:rPr>
        <w:t>7.6. ЗАСТРОЙЩИК не несет ответственность за недостатки (дефекты) Объекта долевого строительства, обнаруженные в пределах гарантийного срока, если они произошли (возникли) вследствие:</w:t>
      </w:r>
    </w:p>
    <w:p w14:paraId="1B93D97F">
      <w:pPr>
        <w:widowControl/>
        <w:numPr>
          <w:ilvl w:val="0"/>
          <w:numId w:val="1"/>
        </w:numPr>
        <w:tabs>
          <w:tab w:val="left" w:pos="1134"/>
        </w:tabs>
        <w:suppressAutoHyphens w:val="0"/>
        <w:spacing w:line="240" w:lineRule="auto"/>
        <w:ind w:left="0" w:firstLine="709"/>
        <w:contextualSpacing/>
        <w:jc w:val="both"/>
        <w:rPr>
          <w:color w:val="000000"/>
          <w:sz w:val="21"/>
          <w:szCs w:val="21"/>
          <w:lang w:eastAsia="ru-RU"/>
        </w:rPr>
      </w:pPr>
      <w:r>
        <w:rPr>
          <w:color w:val="000000"/>
          <w:sz w:val="21"/>
          <w:szCs w:val="21"/>
          <w:lang w:eastAsia="ru-RU"/>
        </w:rPr>
        <w:t>нормального износа такого объекта долевого строительства или входящих в его состав элементов отделки (при их наличии), систем инженерно-технического обеспечения, конструктивных элементов, изделий;</w:t>
      </w:r>
    </w:p>
    <w:p w14:paraId="120B9D21">
      <w:pPr>
        <w:widowControl/>
        <w:numPr>
          <w:ilvl w:val="0"/>
          <w:numId w:val="1"/>
        </w:numPr>
        <w:tabs>
          <w:tab w:val="left" w:pos="1134"/>
        </w:tabs>
        <w:suppressAutoHyphens w:val="0"/>
        <w:spacing w:line="240" w:lineRule="auto"/>
        <w:ind w:left="0" w:firstLine="709"/>
        <w:contextualSpacing/>
        <w:jc w:val="both"/>
        <w:rPr>
          <w:color w:val="000000"/>
          <w:sz w:val="21"/>
          <w:szCs w:val="21"/>
          <w:lang w:eastAsia="ru-RU"/>
        </w:rPr>
      </w:pPr>
      <w:r>
        <w:rPr>
          <w:color w:val="000000"/>
          <w:sz w:val="21"/>
          <w:szCs w:val="21"/>
          <w:lang w:eastAsia="ru-RU"/>
        </w:rPr>
        <w:t>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(при их наличии), систем инженерно-технического обеспечения, конструктивных элементов, изделий, вследствие ненадлежащего их ремонта, модернизации, несанкционированного вмешательства, проведенного УЧАСТНИКОМ или привлеченными им третьими лицами;</w:t>
      </w:r>
    </w:p>
    <w:p w14:paraId="6297B31C">
      <w:pPr>
        <w:widowControl/>
        <w:numPr>
          <w:ilvl w:val="0"/>
          <w:numId w:val="1"/>
        </w:numPr>
        <w:tabs>
          <w:tab w:val="left" w:pos="1134"/>
        </w:tabs>
        <w:suppressAutoHyphens w:val="0"/>
        <w:spacing w:line="240" w:lineRule="auto"/>
        <w:ind w:left="0" w:firstLine="709"/>
        <w:contextualSpacing/>
        <w:jc w:val="both"/>
        <w:rPr>
          <w:color w:val="000000"/>
          <w:sz w:val="21"/>
          <w:szCs w:val="21"/>
          <w:lang w:eastAsia="ru-RU"/>
        </w:rPr>
      </w:pPr>
      <w:r>
        <w:rPr>
          <w:color w:val="000000"/>
          <w:sz w:val="21"/>
          <w:szCs w:val="21"/>
          <w:lang w:eastAsia="ru-RU"/>
        </w:rPr>
        <w:t>нарушения предусмотренных предоставленной УЧАСТНИКУ Инструкцией по эксплуатации правил и условий эффективного и безопасного использования объекта долевого строительства, входящих в его состав элементов отделки (при их наличии), систем инженерно-технического обеспечения, конструктивных элементов, изделий.</w:t>
      </w:r>
    </w:p>
    <w:p w14:paraId="70BF14E2">
      <w:pPr>
        <w:widowControl/>
        <w:tabs>
          <w:tab w:val="left" w:pos="1134"/>
        </w:tabs>
        <w:suppressAutoHyphens w:val="0"/>
        <w:spacing w:line="240" w:lineRule="auto"/>
        <w:ind w:firstLine="709"/>
        <w:contextualSpacing/>
        <w:jc w:val="both"/>
        <w:rPr>
          <w:color w:val="000000"/>
          <w:sz w:val="21"/>
          <w:szCs w:val="21"/>
          <w:lang w:eastAsia="ru-RU"/>
        </w:rPr>
      </w:pPr>
      <w:r>
        <w:rPr>
          <w:color w:val="000000"/>
          <w:sz w:val="21"/>
          <w:szCs w:val="21"/>
          <w:lang w:eastAsia="ru-RU"/>
        </w:rPr>
        <w:tab/>
      </w:r>
      <w:r>
        <w:rPr>
          <w:color w:val="000000"/>
          <w:sz w:val="21"/>
          <w:szCs w:val="21"/>
          <w:lang w:eastAsia="ru-RU"/>
        </w:rPr>
        <w:t xml:space="preserve">При принятии Объекта долевого строительства УЧАСТНИК заявляет обо всех его недостатках, которые могут быть установлены при обычном способе приемки (явные недостатки). УЧАСТНИК вправе ссылаться на выявленные при принятии Объекта долевого строительства явные недостатки, если они оговорены в подписанном сторонами акте осмотра квартиры. </w:t>
      </w:r>
    </w:p>
    <w:p w14:paraId="6D910887">
      <w:pPr>
        <w:widowControl/>
        <w:tabs>
          <w:tab w:val="left" w:pos="1134"/>
        </w:tabs>
        <w:suppressAutoHyphens w:val="0"/>
        <w:spacing w:line="240" w:lineRule="auto"/>
        <w:ind w:firstLine="709"/>
        <w:contextualSpacing/>
        <w:jc w:val="both"/>
        <w:rPr>
          <w:color w:val="000000"/>
          <w:sz w:val="21"/>
          <w:szCs w:val="21"/>
          <w:lang w:eastAsia="ru-RU"/>
        </w:rPr>
      </w:pPr>
      <w:r>
        <w:rPr>
          <w:color w:val="000000"/>
          <w:sz w:val="21"/>
          <w:szCs w:val="21"/>
          <w:lang w:eastAsia="ru-RU"/>
        </w:rPr>
        <w:t xml:space="preserve">7.7. ЗАСТРОЙЩИК не принимает от УЧАСТНИКА каких-либо претензий по отсутствию каких-либо объемов и видов работ, материалов, оборудования, комплектации и характеристик Объекта долевого строительства в Акте, не предусмотренных в Приложении № 2 к настоящему Договору, в том числе и в связи с отсутствием внутренней отделки. </w:t>
      </w:r>
    </w:p>
    <w:p w14:paraId="70010891">
      <w:pPr>
        <w:widowControl/>
        <w:tabs>
          <w:tab w:val="left" w:pos="1134"/>
        </w:tabs>
        <w:suppressAutoHyphens w:val="0"/>
        <w:spacing w:line="240" w:lineRule="auto"/>
        <w:ind w:firstLine="709"/>
        <w:contextualSpacing/>
        <w:jc w:val="both"/>
        <w:rPr>
          <w:color w:val="000000"/>
          <w:sz w:val="21"/>
          <w:szCs w:val="21"/>
          <w:lang w:eastAsia="ru-RU"/>
        </w:rPr>
      </w:pPr>
      <w:r>
        <w:rPr>
          <w:color w:val="000000"/>
          <w:sz w:val="21"/>
          <w:szCs w:val="21"/>
          <w:lang w:eastAsia="ru-RU"/>
        </w:rPr>
        <w:t>7.8. 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№47 от 28.01.2006, и иными нормативными документами. УЧАСТНИК вправе предъявить Застройщику претензии по качеству Объекта долевого строительства, связанные со скрытыми недостатками при условии, если такие недостатки выявлены в течение гарантийного срока.</w:t>
      </w:r>
    </w:p>
    <w:p w14:paraId="2D81BBFB">
      <w:pPr>
        <w:widowControl/>
        <w:tabs>
          <w:tab w:val="left" w:pos="1134"/>
        </w:tabs>
        <w:suppressAutoHyphens w:val="0"/>
        <w:spacing w:line="240" w:lineRule="auto"/>
        <w:ind w:firstLine="709"/>
        <w:contextualSpacing/>
        <w:jc w:val="both"/>
        <w:rPr>
          <w:color w:val="000000"/>
          <w:sz w:val="21"/>
          <w:szCs w:val="21"/>
          <w:lang w:eastAsia="ru-RU"/>
        </w:rPr>
      </w:pPr>
    </w:p>
    <w:p w14:paraId="7C7CD973">
      <w:pPr>
        <w:widowControl/>
        <w:tabs>
          <w:tab w:val="left" w:pos="1134"/>
        </w:tabs>
        <w:suppressAutoHyphens w:val="0"/>
        <w:spacing w:line="240" w:lineRule="auto"/>
        <w:ind w:firstLine="709"/>
        <w:contextualSpacing/>
        <w:jc w:val="both"/>
        <w:rPr>
          <w:color w:val="000000"/>
          <w:sz w:val="21"/>
          <w:szCs w:val="21"/>
          <w:lang w:eastAsia="ru-RU"/>
        </w:rPr>
      </w:pPr>
    </w:p>
    <w:p w14:paraId="424DE8F7">
      <w:pPr>
        <w:widowControl/>
        <w:tabs>
          <w:tab w:val="left" w:pos="1134"/>
        </w:tabs>
        <w:suppressAutoHyphens w:val="0"/>
        <w:spacing w:line="240" w:lineRule="auto"/>
        <w:ind w:firstLine="709"/>
        <w:contextualSpacing/>
        <w:jc w:val="both"/>
        <w:rPr>
          <w:color w:val="000000"/>
          <w:sz w:val="21"/>
          <w:szCs w:val="21"/>
          <w:lang w:eastAsia="ru-RU"/>
        </w:rPr>
      </w:pPr>
    </w:p>
    <w:p w14:paraId="67E65A0E">
      <w:pPr>
        <w:spacing w:line="240" w:lineRule="auto"/>
        <w:ind w:right="-143" w:firstLine="709"/>
        <w:jc w:val="both"/>
        <w:rPr>
          <w:sz w:val="21"/>
          <w:szCs w:val="21"/>
        </w:rPr>
      </w:pPr>
    </w:p>
    <w:p w14:paraId="5AAF4E13">
      <w:pPr>
        <w:spacing w:line="240" w:lineRule="auto"/>
        <w:ind w:right="-143" w:firstLine="709"/>
        <w:jc w:val="center"/>
        <w:rPr>
          <w:sz w:val="21"/>
          <w:szCs w:val="21"/>
        </w:rPr>
      </w:pPr>
      <w:r>
        <w:rPr>
          <w:b/>
          <w:sz w:val="21"/>
          <w:szCs w:val="21"/>
        </w:rPr>
        <w:t>8. ОТВЕТСТВЕННОСТЬ СТОРОН</w:t>
      </w:r>
    </w:p>
    <w:p w14:paraId="1253273E">
      <w:pPr>
        <w:spacing w:line="240" w:lineRule="auto"/>
        <w:ind w:right="-143" w:firstLine="709"/>
        <w:jc w:val="center"/>
        <w:rPr>
          <w:b/>
          <w:sz w:val="21"/>
          <w:szCs w:val="21"/>
        </w:rPr>
      </w:pPr>
    </w:p>
    <w:p w14:paraId="1B151E10">
      <w:pPr>
        <w:spacing w:line="240" w:lineRule="auto"/>
        <w:ind w:right="-143" w:firstLine="709"/>
        <w:jc w:val="both"/>
        <w:rPr>
          <w:sz w:val="21"/>
          <w:szCs w:val="21"/>
        </w:rPr>
      </w:pPr>
      <w:r>
        <w:rPr>
          <w:sz w:val="21"/>
          <w:szCs w:val="21"/>
        </w:rPr>
        <w:t>8.1. 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или иной документ о передаче Объектов долевого строительства. При этом риск случайной гибели Объекта долевого строительства и ответственность за его эксплуатацию, включая обязательства по уплате коммунальных платежей, признается перешедшим к УЧАСТНИКУ со дня составления одностороннего Акта или иного документа о передаче Объекта долевого строительства.</w:t>
      </w:r>
    </w:p>
    <w:p w14:paraId="142F098E">
      <w:pPr>
        <w:spacing w:line="240" w:lineRule="auto"/>
        <w:ind w:right="-143" w:firstLine="709"/>
        <w:jc w:val="both"/>
        <w:rPr>
          <w:sz w:val="21"/>
          <w:szCs w:val="21"/>
        </w:rPr>
      </w:pPr>
      <w:r>
        <w:rPr>
          <w:sz w:val="21"/>
          <w:szCs w:val="21"/>
        </w:rPr>
        <w:t>8.2. В случае нарушения предусмотренного настоящим Договором срока передачи УЧАСТНИКУ Объекта долевого строительства ЗАСТРОЙЩИК уплачивает УЧАСТНИКУ неустойку (пени) в размере, установленном ч.2 ст.6 ФЗ № 214-ФЗ. В случае нарушения предусмотренного настоящим Договором срока передачи УЧАСТНИКУ Объекта долевого строительства вследствие уклонения УЧАСТНИКА от подписания передаточного акта или иного документа о передаче Объекта долевого строительства ЗАСТРОЙЩИК освобождается от уплаты УЧАСТНИКУ неустойки (пени) при условии надлежащего исполнения ЗАСТРОЙЩИКОМ своих обязательств по настоящему Договору.</w:t>
      </w:r>
    </w:p>
    <w:p w14:paraId="6B8E59D6">
      <w:pPr>
        <w:spacing w:line="240" w:lineRule="auto"/>
        <w:ind w:right="-143" w:firstLine="709"/>
        <w:jc w:val="both"/>
        <w:rPr>
          <w:sz w:val="21"/>
          <w:szCs w:val="21"/>
        </w:rPr>
      </w:pPr>
    </w:p>
    <w:p w14:paraId="4F194AFF">
      <w:pPr>
        <w:spacing w:line="240" w:lineRule="auto"/>
        <w:ind w:right="-143" w:firstLine="709"/>
        <w:jc w:val="center"/>
        <w:rPr>
          <w:sz w:val="21"/>
          <w:szCs w:val="21"/>
        </w:rPr>
      </w:pPr>
      <w:r>
        <w:rPr>
          <w:b/>
          <w:sz w:val="21"/>
          <w:szCs w:val="21"/>
        </w:rPr>
        <w:t>9. ФОРС-МАЖОР</w:t>
      </w:r>
    </w:p>
    <w:p w14:paraId="185EF3FA">
      <w:pPr>
        <w:spacing w:line="240" w:lineRule="auto"/>
        <w:ind w:right="-143" w:firstLine="709"/>
        <w:jc w:val="center"/>
        <w:rPr>
          <w:b/>
          <w:sz w:val="21"/>
          <w:szCs w:val="21"/>
        </w:rPr>
      </w:pPr>
    </w:p>
    <w:p w14:paraId="0DC28169">
      <w:pPr>
        <w:pStyle w:val="14"/>
        <w:spacing w:after="0" w:line="240" w:lineRule="auto"/>
        <w:ind w:left="0" w:right="-143" w:firstLine="709"/>
        <w:jc w:val="both"/>
        <w:rPr>
          <w:sz w:val="21"/>
          <w:szCs w:val="21"/>
        </w:rPr>
      </w:pPr>
      <w:r>
        <w:rPr>
          <w:sz w:val="21"/>
          <w:szCs w:val="21"/>
        </w:rPr>
        <w:t xml:space="preserve">9.1. </w:t>
      </w:r>
      <w:r>
        <w:rPr>
          <w:bCs/>
          <w:sz w:val="21"/>
          <w:szCs w:val="21"/>
        </w:rPr>
        <w:t>СТОРОНЫ</w:t>
      </w:r>
      <w:r>
        <w:rPr>
          <w:sz w:val="21"/>
          <w:szCs w:val="21"/>
        </w:rPr>
        <w:t xml:space="preserve"> по настоящему Договору не несут ответственность за частичное или полное неисполнение обязательств по настоящему Договору, если ненадлежащее исполнение ими своих обязательств по Договору явилось следствием действия обстоятельств непреодолимой силы. При этом срок исполнения обязательств по настоящему Договору отодвигается соразмерно времени, в течение которого будут действовать обстоятельства непреодолимой силы или их последствия.</w:t>
      </w:r>
    </w:p>
    <w:p w14:paraId="79EB4679">
      <w:pPr>
        <w:pStyle w:val="14"/>
        <w:spacing w:after="0" w:line="240" w:lineRule="auto"/>
        <w:ind w:left="0" w:right="-143" w:firstLine="709"/>
        <w:jc w:val="both"/>
        <w:rPr>
          <w:sz w:val="21"/>
          <w:szCs w:val="21"/>
        </w:rPr>
      </w:pPr>
      <w:r>
        <w:rPr>
          <w:sz w:val="21"/>
          <w:szCs w:val="21"/>
        </w:rPr>
        <w:t xml:space="preserve">9.2. Под обстоятельствами непреодолимой силы по смыслу настоящего Договора </w:t>
      </w:r>
      <w:r>
        <w:rPr>
          <w:bCs/>
          <w:sz w:val="21"/>
          <w:szCs w:val="21"/>
        </w:rPr>
        <w:t>СТОРОНЫ</w:t>
      </w:r>
      <w:r>
        <w:rPr>
          <w:sz w:val="21"/>
          <w:szCs w:val="21"/>
        </w:rPr>
        <w:t xml:space="preserve"> понимают пожары, оползни, карстовые провалы, наводнения, землетрясения, ураганы, устойчивые морозы ниже -20º, иные стихийные бедствия, объявленные и необъявленные войны, народные волнения, забастовки, эпидемии, запретительные меры государственных органов.</w:t>
      </w:r>
    </w:p>
    <w:p w14:paraId="51FB8C0A">
      <w:pPr>
        <w:pStyle w:val="14"/>
        <w:spacing w:after="0" w:line="240" w:lineRule="auto"/>
        <w:ind w:left="0" w:right="-143" w:firstLine="709"/>
        <w:jc w:val="both"/>
        <w:rPr>
          <w:sz w:val="21"/>
          <w:szCs w:val="21"/>
        </w:rPr>
      </w:pPr>
      <w:r>
        <w:rPr>
          <w:sz w:val="21"/>
          <w:szCs w:val="21"/>
        </w:rPr>
        <w:t>9.3. Сторона, для которой создалась невозможность исполнения обязательств по настоящему Договору, должна в двадцатидневный срок после начала действия обстоятельств непреодолимой силы известить в письменной форме другую сторону. Не уведомление о наступлении обстоятельств непреодолимой силы в установленный срок лишает виновную сторону права ссылаться на них.</w:t>
      </w:r>
    </w:p>
    <w:p w14:paraId="3A382DAE">
      <w:pPr>
        <w:pStyle w:val="14"/>
        <w:spacing w:after="0" w:line="240" w:lineRule="auto"/>
        <w:ind w:left="0" w:right="-143" w:firstLine="709"/>
        <w:jc w:val="both"/>
        <w:rPr>
          <w:sz w:val="21"/>
          <w:szCs w:val="21"/>
        </w:rPr>
      </w:pPr>
      <w:r>
        <w:rPr>
          <w:sz w:val="21"/>
          <w:szCs w:val="21"/>
        </w:rPr>
        <w:t>Надлежащим доказательством наличия обстоятельств непреодолимой силы являются справки Торгово-Промышленной Палаты Республики Татарстан.</w:t>
      </w:r>
    </w:p>
    <w:p w14:paraId="183D4215">
      <w:pPr>
        <w:pStyle w:val="14"/>
        <w:spacing w:after="0" w:line="240" w:lineRule="auto"/>
        <w:ind w:left="0" w:right="-143" w:firstLine="709"/>
        <w:jc w:val="both"/>
        <w:rPr>
          <w:sz w:val="21"/>
          <w:szCs w:val="21"/>
        </w:rPr>
      </w:pPr>
    </w:p>
    <w:p w14:paraId="011CD941">
      <w:pPr>
        <w:spacing w:line="240" w:lineRule="auto"/>
        <w:ind w:right="-143" w:firstLine="709"/>
        <w:jc w:val="center"/>
        <w:rPr>
          <w:sz w:val="21"/>
          <w:szCs w:val="21"/>
        </w:rPr>
      </w:pPr>
      <w:r>
        <w:rPr>
          <w:b/>
          <w:sz w:val="21"/>
          <w:szCs w:val="21"/>
        </w:rPr>
        <w:t>10. ОСОБЫЕ УСЛОВИЯ</w:t>
      </w:r>
    </w:p>
    <w:p w14:paraId="4AC739E0">
      <w:pPr>
        <w:spacing w:line="240" w:lineRule="auto"/>
        <w:ind w:right="-143" w:firstLine="709"/>
        <w:jc w:val="center"/>
        <w:rPr>
          <w:b/>
          <w:sz w:val="21"/>
          <w:szCs w:val="21"/>
        </w:rPr>
      </w:pPr>
    </w:p>
    <w:p w14:paraId="5804271C">
      <w:pPr>
        <w:pStyle w:val="14"/>
        <w:spacing w:after="0" w:line="240" w:lineRule="auto"/>
        <w:ind w:left="0" w:right="-143" w:firstLine="709"/>
        <w:jc w:val="both"/>
        <w:rPr>
          <w:sz w:val="21"/>
          <w:szCs w:val="21"/>
        </w:rPr>
      </w:pPr>
      <w:r>
        <w:rPr>
          <w:sz w:val="21"/>
          <w:szCs w:val="21"/>
        </w:rPr>
        <w:t>10.1. Уступка УЧАСТНИКОМ прав требований по настоящему Договору допускается только с согласия ЗАСТРОЙЩИКА после уплаты УЧАСТНИКОМ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w:t>
      </w:r>
    </w:p>
    <w:p w14:paraId="325D2F38">
      <w:pPr>
        <w:pStyle w:val="14"/>
        <w:spacing w:after="0" w:line="240" w:lineRule="auto"/>
        <w:ind w:left="0" w:right="-143" w:firstLine="709"/>
        <w:jc w:val="both"/>
        <w:rPr>
          <w:sz w:val="21"/>
          <w:szCs w:val="21"/>
        </w:rPr>
      </w:pPr>
      <w:r>
        <w:rPr>
          <w:sz w:val="21"/>
          <w:szCs w:val="21"/>
        </w:rPr>
        <w:t>10.2. Уступка УЧАСТНИКОМ прав требований по настоящему Договору допускается с момента государственной регистрации Договора до момента подписания СТОРОНАМИ передаточного Акта, при этом применяются правила об уступке требования и переводе долга, предусмотренные ст.ст.388 – 390 и 391 – 392 Гражданского кодекса РФ.</w:t>
      </w:r>
    </w:p>
    <w:p w14:paraId="3BE94D36">
      <w:pPr>
        <w:pStyle w:val="34"/>
        <w:widowControl/>
        <w:tabs>
          <w:tab w:val="left" w:pos="567"/>
        </w:tabs>
        <w:ind w:right="-143" w:firstLine="709"/>
        <w:jc w:val="both"/>
        <w:rPr>
          <w:rFonts w:ascii="Times New Roman" w:hAnsi="Times New Roman" w:cs="Times New Roman"/>
          <w:sz w:val="21"/>
          <w:szCs w:val="21"/>
          <w:lang w:eastAsia="ar-SA"/>
        </w:rPr>
      </w:pPr>
      <w:r>
        <w:rPr>
          <w:rFonts w:ascii="Times New Roman" w:hAnsi="Times New Roman" w:cs="Times New Roman"/>
          <w:sz w:val="21"/>
          <w:szCs w:val="21"/>
          <w:lang w:eastAsia="ar-SA"/>
        </w:rPr>
        <w:t xml:space="preserve">10.3. В случае прекращения Договора счета эскроу по основаниям, предусмотренным </w:t>
      </w:r>
      <w:r>
        <w:fldChar w:fldCharType="begin"/>
      </w:r>
      <w:r>
        <w:instrText xml:space="preserve"> HYPERLINK "consultantplus://offline/ref=54E5A3CF0243A38D73DB78998DAA8F992E2C4FA88F386C35F3AAE8AB0F5B0D0E6995531112B0DA4626B3EBA290427FC0B5679B99463CC47807VCT" \h </w:instrText>
      </w:r>
      <w:r>
        <w:fldChar w:fldCharType="separate"/>
      </w:r>
      <w:r>
        <w:rPr>
          <w:rStyle w:val="20"/>
          <w:rFonts w:ascii="Times New Roman" w:hAnsi="Times New Roman" w:cs="Times New Roman"/>
          <w:color w:val="00000A"/>
          <w:sz w:val="21"/>
          <w:szCs w:val="21"/>
          <w:lang w:eastAsia="ar-SA"/>
        </w:rPr>
        <w:t>частью 7</w:t>
      </w:r>
      <w:r>
        <w:rPr>
          <w:rStyle w:val="20"/>
          <w:rFonts w:ascii="Times New Roman" w:hAnsi="Times New Roman" w:cs="Times New Roman"/>
          <w:color w:val="00000A"/>
          <w:sz w:val="21"/>
          <w:szCs w:val="21"/>
          <w:lang w:eastAsia="ar-SA"/>
        </w:rPr>
        <w:fldChar w:fldCharType="end"/>
      </w:r>
      <w:r>
        <w:rPr>
          <w:rFonts w:ascii="Times New Roman" w:hAnsi="Times New Roman" w:cs="Times New Roman"/>
          <w:sz w:val="21"/>
          <w:szCs w:val="21"/>
          <w:lang w:eastAsia="ar-SA"/>
        </w:rPr>
        <w:t xml:space="preserve"> статьи 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УЧАСТНИКУ об их выдаче либо переводе при прекращении такого договора по основаниям, предусмотренным </w:t>
      </w:r>
      <w:r>
        <w:fldChar w:fldCharType="begin"/>
      </w:r>
      <w:r>
        <w:instrText xml:space="preserve"> HYPERLINK "consultantplus://offline/ref=54E5A3CF0243A38D73DB78998DAA8F992E2C4FA88F386C35F3AAE8AB0F5B0D0E6995531112B0DA4626B3EBA290427FC0B5679B99463CC47807VCT" \h </w:instrText>
      </w:r>
      <w:r>
        <w:fldChar w:fldCharType="separate"/>
      </w:r>
      <w:r>
        <w:rPr>
          <w:rStyle w:val="20"/>
          <w:rFonts w:ascii="Times New Roman" w:hAnsi="Times New Roman" w:cs="Times New Roman"/>
          <w:color w:val="00000A"/>
          <w:sz w:val="21"/>
          <w:szCs w:val="21"/>
          <w:lang w:eastAsia="ar-SA"/>
        </w:rPr>
        <w:t>частью 7</w:t>
      </w:r>
      <w:r>
        <w:rPr>
          <w:rStyle w:val="20"/>
          <w:rFonts w:ascii="Times New Roman" w:hAnsi="Times New Roman" w:cs="Times New Roman"/>
          <w:color w:val="00000A"/>
          <w:sz w:val="21"/>
          <w:szCs w:val="21"/>
          <w:lang w:eastAsia="ar-SA"/>
        </w:rPr>
        <w:fldChar w:fldCharType="end"/>
      </w:r>
      <w:r>
        <w:rPr>
          <w:rFonts w:ascii="Times New Roman" w:hAnsi="Times New Roman" w:cs="Times New Roman"/>
          <w:sz w:val="21"/>
          <w:szCs w:val="21"/>
          <w:lang w:eastAsia="ar-SA"/>
        </w:rPr>
        <w:t xml:space="preserve"> статьи 15.5 Закона о Долевом Участии.</w:t>
      </w:r>
    </w:p>
    <w:p w14:paraId="0043F09B">
      <w:pPr>
        <w:pStyle w:val="34"/>
        <w:widowControl/>
        <w:tabs>
          <w:tab w:val="left" w:pos="567"/>
        </w:tabs>
        <w:ind w:right="-143" w:firstLine="709"/>
        <w:jc w:val="both"/>
        <w:rPr>
          <w:rFonts w:ascii="Times New Roman" w:hAnsi="Times New Roman" w:cs="Times New Roman"/>
          <w:sz w:val="21"/>
          <w:szCs w:val="21"/>
          <w:lang w:eastAsia="ar-SA"/>
        </w:rPr>
      </w:pPr>
      <w:r>
        <w:rPr>
          <w:rFonts w:ascii="Times New Roman" w:hAnsi="Times New Roman" w:cs="Times New Roman"/>
          <w:sz w:val="21"/>
          <w:szCs w:val="21"/>
          <w:lang w:eastAsia="ar-SA"/>
        </w:rPr>
        <w:t>10.4. 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Управлении Федеральной службы государственной регистрации, кадастра и картографии по Республике Татарстан 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электроразводки, схемы газопроводов и установку газовых приборов и т.п.). После оформления права собственности на Объект и в течение всего срока эксплуатации объекта УЧАСТНИК не имеет права вносить изменения в архитектурное решение фасада и несущие элементы конструкции Многоквартирного дома, а также устанавливать любое оборудование на внешние стены здания, без согласования соответствующих органов.</w:t>
      </w:r>
    </w:p>
    <w:p w14:paraId="49721192">
      <w:pPr>
        <w:pStyle w:val="34"/>
        <w:widowControl/>
        <w:tabs>
          <w:tab w:val="left" w:pos="567"/>
        </w:tabs>
        <w:ind w:right="-143" w:firstLine="0"/>
        <w:jc w:val="both"/>
        <w:rPr>
          <w:rFonts w:ascii="Times New Roman" w:hAnsi="Times New Roman" w:cs="Times New Roman"/>
          <w:sz w:val="21"/>
          <w:szCs w:val="21"/>
        </w:rPr>
      </w:pPr>
    </w:p>
    <w:p w14:paraId="3818EEC6">
      <w:pPr>
        <w:spacing w:line="240" w:lineRule="auto"/>
        <w:ind w:right="-143" w:firstLine="709"/>
        <w:jc w:val="center"/>
        <w:rPr>
          <w:sz w:val="21"/>
          <w:szCs w:val="21"/>
        </w:rPr>
      </w:pPr>
      <w:r>
        <w:rPr>
          <w:b/>
          <w:sz w:val="21"/>
          <w:szCs w:val="21"/>
        </w:rPr>
        <w:t>11. ДОПОЛНИТЕЛЬНЫЕ УСЛОВИЯ</w:t>
      </w:r>
    </w:p>
    <w:p w14:paraId="2F8CF6E6">
      <w:pPr>
        <w:spacing w:line="240" w:lineRule="auto"/>
        <w:ind w:right="-143" w:firstLine="709"/>
        <w:jc w:val="center"/>
        <w:rPr>
          <w:b/>
          <w:sz w:val="21"/>
          <w:szCs w:val="21"/>
        </w:rPr>
      </w:pPr>
    </w:p>
    <w:p w14:paraId="5921FCC2">
      <w:pPr>
        <w:pStyle w:val="14"/>
        <w:spacing w:after="0" w:line="240" w:lineRule="auto"/>
        <w:ind w:left="0" w:right="-143" w:firstLine="709"/>
        <w:jc w:val="both"/>
        <w:rPr>
          <w:sz w:val="21"/>
          <w:szCs w:val="21"/>
        </w:rPr>
      </w:pPr>
      <w:r>
        <w:rPr>
          <w:sz w:val="21"/>
          <w:szCs w:val="21"/>
        </w:rPr>
        <w:t>11.1. УЧАСТНИК обязан вносить денежные средства в счет уплаты Цены договора на счета эскроу, открытые в УПОЛНОМОЧЕННОМ БАНКЕ.</w:t>
      </w:r>
    </w:p>
    <w:p w14:paraId="7280C8A7">
      <w:pPr>
        <w:pStyle w:val="14"/>
        <w:spacing w:after="0" w:line="240" w:lineRule="auto"/>
        <w:ind w:left="0" w:right="-143" w:firstLine="709"/>
        <w:jc w:val="both"/>
        <w:rPr>
          <w:sz w:val="21"/>
          <w:szCs w:val="21"/>
        </w:rPr>
      </w:pPr>
      <w:r>
        <w:rPr>
          <w:sz w:val="21"/>
          <w:szCs w:val="21"/>
        </w:rPr>
        <w:t>11.2. 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 УЧАСТНИК путем подписания настоящего договора, подтверждают, что ознакомились с проектной документацией и проектной декларацией Многоквартирного дома до подписания настоящего договора, также подтверждают,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50036E9F">
      <w:pPr>
        <w:pStyle w:val="12"/>
        <w:spacing w:before="0"/>
        <w:ind w:right="-143" w:firstLine="709"/>
        <w:rPr>
          <w:sz w:val="21"/>
          <w:szCs w:val="21"/>
        </w:rPr>
      </w:pPr>
      <w:r>
        <w:rPr>
          <w:sz w:val="21"/>
          <w:szCs w:val="21"/>
        </w:rPr>
        <w:t xml:space="preserve">11.3. В случае изменения реквизитов сторона уведомляет в письменном виде другую сторону в течение 3 (трех) дней с момента изменения. В случае неисполнения данной обязанности, уведомления, направленные по последнему известному адресу считаются надлежащими. </w:t>
      </w:r>
    </w:p>
    <w:p w14:paraId="54824E55">
      <w:pPr>
        <w:pStyle w:val="14"/>
        <w:spacing w:after="0" w:line="240" w:lineRule="auto"/>
        <w:ind w:left="0" w:right="-143" w:firstLine="709"/>
        <w:jc w:val="both"/>
        <w:rPr>
          <w:sz w:val="21"/>
          <w:szCs w:val="21"/>
        </w:rPr>
      </w:pPr>
      <w:r>
        <w:rPr>
          <w:sz w:val="21"/>
          <w:szCs w:val="21"/>
        </w:rPr>
        <w:t>11.4. Все споры и разногласия, возникающие в связи с исполнением настоящего Договора, СТОРОНЫ будут стремиться решать путем переговоров. В случае не достижения согласия спор передается на рассмотрение судебных органов. Срок ответа на претензию устанавливается 10 рабочих дней.</w:t>
      </w:r>
    </w:p>
    <w:p w14:paraId="43E75569">
      <w:pPr>
        <w:pStyle w:val="14"/>
        <w:spacing w:after="0" w:line="240" w:lineRule="auto"/>
        <w:ind w:left="0" w:right="-143" w:firstLine="709"/>
        <w:jc w:val="both"/>
        <w:rPr>
          <w:bCs/>
          <w:color w:val="000000" w:themeColor="text1"/>
          <w:sz w:val="21"/>
          <w:szCs w:val="21"/>
          <w14:textFill>
            <w14:solidFill>
              <w14:schemeClr w14:val="tx1"/>
            </w14:solidFill>
          </w14:textFill>
        </w:rPr>
      </w:pPr>
      <w:r>
        <w:rPr>
          <w:sz w:val="21"/>
          <w:szCs w:val="21"/>
        </w:rPr>
        <w:t>11.5. Настоящим УЧАСТНИК,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(ф</w:t>
      </w:r>
      <w:r>
        <w:rPr>
          <w:bCs/>
          <w:color w:val="000000" w:themeColor="text1"/>
          <w:sz w:val="21"/>
          <w:szCs w:val="21"/>
          <w14:textFill>
            <w14:solidFill>
              <w14:schemeClr w14:val="tx1"/>
            </w14:solidFill>
          </w14:textFill>
        </w:rPr>
        <w:t xml:space="preserve">амилия, имя, отчество, дата и место рождения, гражданство, пол, адрес регистрации и фактического проживания, паспорт (серия, номер, кем и когда выдан), идентификационный номер налогоплательщика, страховое свидетельство обязательного пенсионного страхования, содержащее страховой номер индивидуального лицевого счета (СНИЛС), семейное положение, банковские реквизиты, адреса электронных почт (email), контактный телефон, информация о размере привлеченных денежных средств, информация о жилом помещении по договору участия в долевом строительстве) путем подписания отдельного документа. </w:t>
      </w:r>
    </w:p>
    <w:p w14:paraId="73C87099">
      <w:pPr>
        <w:pStyle w:val="14"/>
        <w:spacing w:after="0" w:line="240" w:lineRule="auto"/>
        <w:ind w:left="0" w:right="-143" w:firstLine="709"/>
        <w:jc w:val="both"/>
        <w:rPr>
          <w:sz w:val="21"/>
          <w:szCs w:val="21"/>
        </w:rPr>
      </w:pPr>
      <w:r>
        <w:rPr>
          <w:sz w:val="21"/>
          <w:szCs w:val="21"/>
        </w:rPr>
        <w:t>11.6. ЗАСТРОЙЩИК гарантирует УЧАСТНИКУ,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03AAD1D5">
      <w:pPr>
        <w:pStyle w:val="32"/>
        <w:ind w:right="-143" w:firstLine="709"/>
        <w:rPr>
          <w:sz w:val="21"/>
          <w:szCs w:val="21"/>
        </w:rPr>
      </w:pPr>
    </w:p>
    <w:p w14:paraId="4B4093DF">
      <w:pPr>
        <w:pStyle w:val="32"/>
        <w:ind w:right="-143" w:firstLine="709"/>
        <w:rPr>
          <w:sz w:val="21"/>
          <w:szCs w:val="21"/>
        </w:rPr>
      </w:pPr>
      <w:r>
        <w:rPr>
          <w:sz w:val="21"/>
          <w:szCs w:val="21"/>
        </w:rPr>
        <w:t>12. СПОСОБЫ ОБЕСПЕЧЕНИЯ ИСПОЛНЕНИЯ ОБЯЗАТЕЛЬСТВ ЗАСТРОЙЩИКА</w:t>
      </w:r>
    </w:p>
    <w:p w14:paraId="0775B465">
      <w:pPr>
        <w:pStyle w:val="32"/>
        <w:ind w:right="-143" w:firstLine="709"/>
        <w:rPr>
          <w:b w:val="0"/>
          <w:sz w:val="21"/>
          <w:szCs w:val="21"/>
        </w:rPr>
      </w:pPr>
    </w:p>
    <w:p w14:paraId="49964D20">
      <w:pPr>
        <w:pStyle w:val="32"/>
        <w:ind w:right="-143" w:firstLine="709"/>
        <w:jc w:val="both"/>
        <w:rPr>
          <w:b w:val="0"/>
          <w:sz w:val="21"/>
          <w:szCs w:val="21"/>
        </w:rPr>
      </w:pPr>
      <w:r>
        <w:rPr>
          <w:b w:val="0"/>
          <w:sz w:val="21"/>
          <w:szCs w:val="21"/>
        </w:rPr>
        <w:t>12.1. 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Многоквартирного дома земельный участок и строящийся на этом участке Многоквартирный дом на основании ч. 4 ст.15.4 Федерального закона от 30.12.2014 №214-ФЗ, в пользу УЧАСТНИКА не устанавливаются.</w:t>
      </w:r>
    </w:p>
    <w:p w14:paraId="0C565CAD">
      <w:pPr>
        <w:pStyle w:val="32"/>
        <w:ind w:right="-143" w:firstLine="709"/>
        <w:jc w:val="both"/>
        <w:rPr>
          <w:b w:val="0"/>
          <w:sz w:val="21"/>
          <w:szCs w:val="21"/>
        </w:rPr>
      </w:pPr>
    </w:p>
    <w:p w14:paraId="480C6D68">
      <w:pPr>
        <w:spacing w:line="240" w:lineRule="auto"/>
        <w:ind w:right="-143" w:firstLine="709"/>
        <w:jc w:val="center"/>
        <w:rPr>
          <w:b/>
          <w:sz w:val="21"/>
          <w:szCs w:val="21"/>
        </w:rPr>
      </w:pPr>
      <w:r>
        <w:rPr>
          <w:b/>
          <w:sz w:val="21"/>
          <w:szCs w:val="21"/>
        </w:rPr>
        <w:t>13. ЗАКЛЮЧИТЕЛЬНЫЕ ПОЛОЖЕНИЯ</w:t>
      </w:r>
    </w:p>
    <w:p w14:paraId="4FBA43FE">
      <w:pPr>
        <w:spacing w:line="240" w:lineRule="auto"/>
        <w:ind w:right="-143" w:firstLine="709"/>
        <w:jc w:val="center"/>
        <w:rPr>
          <w:sz w:val="21"/>
          <w:szCs w:val="21"/>
        </w:rPr>
      </w:pPr>
    </w:p>
    <w:p w14:paraId="1FCE03E7">
      <w:pPr>
        <w:spacing w:line="240" w:lineRule="auto"/>
        <w:ind w:right="-143" w:firstLine="709"/>
        <w:jc w:val="both"/>
        <w:rPr>
          <w:sz w:val="21"/>
          <w:szCs w:val="21"/>
        </w:rPr>
      </w:pPr>
      <w:r>
        <w:rPr>
          <w:sz w:val="21"/>
          <w:szCs w:val="21"/>
        </w:rPr>
        <w:t>13.1. Настоящий Договор вступает в силу с момента его регистрации в Управлении Федеральной службы государственной регистрации, кадастра и картографии по Республики Татарстан и действует до полного исполнения СТОРОНАМИ своих обязательств.</w:t>
      </w:r>
    </w:p>
    <w:p w14:paraId="3D787595">
      <w:pPr>
        <w:spacing w:line="240" w:lineRule="auto"/>
        <w:ind w:right="-143" w:firstLine="709"/>
        <w:jc w:val="both"/>
        <w:rPr>
          <w:sz w:val="21"/>
          <w:szCs w:val="21"/>
        </w:rPr>
      </w:pPr>
      <w:r>
        <w:rPr>
          <w:sz w:val="21"/>
          <w:szCs w:val="21"/>
        </w:rPr>
        <w:t xml:space="preserve">13.2. Обязательства ЗАСТРОЙЩИКА считаются исполненными с момента получения разрешения на ввод в эксплуатацию Многоквартирного дома и подписания СТОРОНАМИ </w:t>
      </w:r>
      <w:bookmarkStart w:id="17" w:name="_Hlk219994675"/>
      <w:r>
        <w:rPr>
          <w:sz w:val="21"/>
          <w:szCs w:val="21"/>
        </w:rPr>
        <w:t>Акта о передаче Объекта.</w:t>
      </w:r>
      <w:bookmarkEnd w:id="17"/>
    </w:p>
    <w:p w14:paraId="5143A59A">
      <w:pPr>
        <w:spacing w:line="240" w:lineRule="auto"/>
        <w:ind w:right="-143" w:firstLine="709"/>
        <w:jc w:val="both"/>
        <w:rPr>
          <w:sz w:val="21"/>
          <w:szCs w:val="21"/>
        </w:rPr>
      </w:pPr>
      <w:r>
        <w:rPr>
          <w:sz w:val="21"/>
          <w:szCs w:val="21"/>
        </w:rPr>
        <w:t>13.3. Обязательства УЧАСТНИКА считаются выполненными с момента уплаты в полном объеме денежных средств в соответствии с Договором и подписания СТОРОНАМИ Акта о передаче Объекта.</w:t>
      </w:r>
    </w:p>
    <w:p w14:paraId="48009051">
      <w:pPr>
        <w:pStyle w:val="32"/>
        <w:ind w:right="-143" w:firstLine="709"/>
        <w:jc w:val="both"/>
        <w:rPr>
          <w:b w:val="0"/>
          <w:sz w:val="21"/>
          <w:szCs w:val="21"/>
        </w:rPr>
      </w:pPr>
      <w:r>
        <w:rPr>
          <w:b w:val="0"/>
          <w:sz w:val="21"/>
          <w:szCs w:val="21"/>
        </w:rPr>
        <w:t>13.4. Любые приложения, дополнения и изменения к настоящему Договору оформляются в письменном виде, вступают в силу с момента их государственной регистрации и являются неотъемлемой частью настоящего Договора.</w:t>
      </w:r>
    </w:p>
    <w:p w14:paraId="0D7C843B">
      <w:pPr>
        <w:pStyle w:val="32"/>
        <w:ind w:right="-143" w:firstLine="709"/>
        <w:jc w:val="both"/>
        <w:rPr>
          <w:b w:val="0"/>
          <w:sz w:val="21"/>
          <w:szCs w:val="21"/>
        </w:rPr>
      </w:pPr>
    </w:p>
    <w:p w14:paraId="4ACF4E62">
      <w:pPr>
        <w:spacing w:line="240" w:lineRule="auto"/>
        <w:ind w:right="-143" w:firstLine="709"/>
        <w:jc w:val="both"/>
        <w:rPr>
          <w:sz w:val="21"/>
          <w:szCs w:val="21"/>
        </w:rPr>
      </w:pPr>
      <w:r>
        <w:rPr>
          <w:sz w:val="21"/>
          <w:szCs w:val="21"/>
        </w:rPr>
        <w:t>13.5. Приложения к настоящему договору, являющиеся его неотъемлемой частью:</w:t>
      </w:r>
    </w:p>
    <w:p w14:paraId="0DFED22F">
      <w:pPr>
        <w:spacing w:line="240" w:lineRule="auto"/>
        <w:ind w:right="-143" w:firstLine="709"/>
        <w:jc w:val="both"/>
        <w:rPr>
          <w:sz w:val="21"/>
          <w:szCs w:val="21"/>
        </w:rPr>
      </w:pPr>
      <w:r>
        <w:rPr>
          <w:sz w:val="21"/>
          <w:szCs w:val="21"/>
        </w:rPr>
        <w:t>Приложение №1 – План объекта долевого строительства;</w:t>
      </w:r>
    </w:p>
    <w:p w14:paraId="03D1FA9E">
      <w:pPr>
        <w:spacing w:line="240" w:lineRule="auto"/>
        <w:ind w:right="-143" w:firstLine="709"/>
        <w:jc w:val="both"/>
        <w:rPr>
          <w:sz w:val="21"/>
          <w:szCs w:val="21"/>
        </w:rPr>
      </w:pPr>
      <w:r>
        <w:rPr>
          <w:sz w:val="21"/>
          <w:szCs w:val="21"/>
        </w:rPr>
        <w:t>Приложение №2 – Описание объекта долевого строительства;</w:t>
      </w:r>
    </w:p>
    <w:p w14:paraId="298832F3">
      <w:pPr>
        <w:spacing w:line="240" w:lineRule="auto"/>
        <w:ind w:right="-143" w:firstLine="709"/>
        <w:jc w:val="both"/>
        <w:rPr>
          <w:sz w:val="21"/>
          <w:szCs w:val="21"/>
        </w:rPr>
      </w:pPr>
    </w:p>
    <w:tbl>
      <w:tblPr>
        <w:tblStyle w:val="3"/>
        <w:tblW w:w="10348" w:type="dxa"/>
        <w:tblInd w:w="108" w:type="dxa"/>
        <w:tblLayout w:type="autofit"/>
        <w:tblCellMar>
          <w:top w:w="0" w:type="dxa"/>
          <w:left w:w="108" w:type="dxa"/>
          <w:bottom w:w="0" w:type="dxa"/>
          <w:right w:w="108" w:type="dxa"/>
        </w:tblCellMar>
      </w:tblPr>
      <w:tblGrid>
        <w:gridCol w:w="10348"/>
      </w:tblGrid>
      <w:tr w14:paraId="2CF680B3">
        <w:tblPrEx>
          <w:tblCellMar>
            <w:top w:w="0" w:type="dxa"/>
            <w:left w:w="108" w:type="dxa"/>
            <w:bottom w:w="0" w:type="dxa"/>
            <w:right w:w="108" w:type="dxa"/>
          </w:tblCellMar>
        </w:tblPrEx>
        <w:trPr>
          <w:trHeight w:val="3970" w:hRule="atLeast"/>
        </w:trPr>
        <w:tc>
          <w:tcPr>
            <w:tcW w:w="10348" w:type="dxa"/>
            <w:shd w:val="clear" w:color="auto" w:fill="auto"/>
          </w:tcPr>
          <w:p w14:paraId="69176CEA">
            <w:pPr>
              <w:spacing w:line="240" w:lineRule="auto"/>
              <w:ind w:right="-143" w:hanging="75"/>
              <w:jc w:val="center"/>
              <w:rPr>
                <w:b/>
                <w:sz w:val="21"/>
                <w:szCs w:val="21"/>
              </w:rPr>
            </w:pPr>
          </w:p>
          <w:p w14:paraId="42BA48A4">
            <w:pPr>
              <w:spacing w:line="240" w:lineRule="auto"/>
              <w:ind w:right="-143" w:hanging="75"/>
              <w:jc w:val="center"/>
              <w:rPr>
                <w:b/>
                <w:sz w:val="21"/>
                <w:szCs w:val="21"/>
              </w:rPr>
            </w:pPr>
            <w:r>
              <w:rPr>
                <w:b/>
                <w:sz w:val="21"/>
                <w:szCs w:val="21"/>
              </w:rPr>
              <w:t>14. ПОДПИСИ СТОРОН</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8"/>
              <w:gridCol w:w="5059"/>
            </w:tblGrid>
            <w:tr w14:paraId="3FEC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8" w:type="dxa"/>
                </w:tcPr>
                <w:p w14:paraId="7F818A2D">
                  <w:pPr>
                    <w:spacing w:line="240" w:lineRule="auto"/>
                    <w:ind w:right="-143" w:firstLine="0"/>
                    <w:rPr>
                      <w:b/>
                      <w:sz w:val="21"/>
                      <w:szCs w:val="21"/>
                    </w:rPr>
                  </w:pPr>
                  <w:r>
                    <w:rPr>
                      <w:b/>
                      <w:sz w:val="21"/>
                      <w:szCs w:val="21"/>
                    </w:rPr>
                    <w:t>14.1. ЗАСТРОЙЩИК:</w:t>
                  </w:r>
                </w:p>
                <w:p w14:paraId="279ECEF2">
                  <w:pPr>
                    <w:spacing w:line="240" w:lineRule="auto"/>
                    <w:ind w:right="-143" w:firstLine="0"/>
                    <w:rPr>
                      <w:b/>
                      <w:sz w:val="21"/>
                      <w:szCs w:val="21"/>
                    </w:rPr>
                  </w:pPr>
                  <w:r>
                    <w:rPr>
                      <w:b/>
                      <w:sz w:val="21"/>
                      <w:szCs w:val="21"/>
                    </w:rPr>
                    <w:t>ООО СЗ «Челны-Град НЧ»</w:t>
                  </w:r>
                </w:p>
                <w:p w14:paraId="1275D14A">
                  <w:pPr>
                    <w:spacing w:line="240" w:lineRule="auto"/>
                    <w:ind w:right="-143" w:firstLine="0"/>
                    <w:rPr>
                      <w:bCs/>
                      <w:sz w:val="21"/>
                      <w:szCs w:val="21"/>
                    </w:rPr>
                  </w:pPr>
                  <w:r>
                    <w:rPr>
                      <w:bCs/>
                      <w:sz w:val="21"/>
                      <w:szCs w:val="21"/>
                    </w:rPr>
                    <w:t>ОГРН: 1231600026448</w:t>
                  </w:r>
                </w:p>
                <w:p w14:paraId="4CEAC046">
                  <w:pPr>
                    <w:spacing w:line="240" w:lineRule="auto"/>
                    <w:ind w:right="-143" w:firstLine="0"/>
                    <w:rPr>
                      <w:bCs/>
                      <w:sz w:val="21"/>
                      <w:szCs w:val="21"/>
                    </w:rPr>
                  </w:pPr>
                  <w:r>
                    <w:rPr>
                      <w:bCs/>
                      <w:sz w:val="21"/>
                      <w:szCs w:val="21"/>
                    </w:rPr>
                    <w:t>ИНН/КПП: 1650424425/165001001</w:t>
                  </w:r>
                </w:p>
                <w:p w14:paraId="64DF26B4">
                  <w:pPr>
                    <w:spacing w:line="240" w:lineRule="auto"/>
                    <w:ind w:right="-143" w:firstLine="0"/>
                    <w:rPr>
                      <w:bCs/>
                      <w:sz w:val="21"/>
                      <w:szCs w:val="21"/>
                    </w:rPr>
                  </w:pPr>
                  <w:r>
                    <w:rPr>
                      <w:bCs/>
                      <w:sz w:val="21"/>
                      <w:szCs w:val="21"/>
                    </w:rPr>
                    <w:t>Юридический адрес: 423832, Республика Татарстан, г. Набережные Челны, ул. Раскольникова, д. 65а, помещ. 9</w:t>
                  </w:r>
                </w:p>
                <w:p w14:paraId="5FDCA918">
                  <w:pPr>
                    <w:spacing w:line="240" w:lineRule="auto"/>
                    <w:ind w:right="-143" w:firstLine="0"/>
                    <w:rPr>
                      <w:bCs/>
                      <w:sz w:val="21"/>
                      <w:szCs w:val="21"/>
                    </w:rPr>
                  </w:pPr>
                  <w:r>
                    <w:rPr>
                      <w:bCs/>
                      <w:sz w:val="21"/>
                      <w:szCs w:val="21"/>
                    </w:rPr>
                    <w:t>Банковские реквизиты:</w:t>
                  </w:r>
                </w:p>
                <w:p w14:paraId="2C2553B5">
                  <w:pPr>
                    <w:spacing w:line="240" w:lineRule="auto"/>
                    <w:ind w:right="-143" w:firstLine="0"/>
                    <w:rPr>
                      <w:bCs/>
                      <w:sz w:val="20"/>
                      <w:szCs w:val="20"/>
                    </w:rPr>
                  </w:pPr>
                  <w:r>
                    <w:rPr>
                      <w:bCs/>
                      <w:sz w:val="20"/>
                      <w:szCs w:val="20"/>
                    </w:rPr>
                    <w:t>Расчетный счет: 40702810012010610796</w:t>
                  </w:r>
                </w:p>
                <w:p w14:paraId="2F090685">
                  <w:pPr>
                    <w:spacing w:line="240" w:lineRule="auto"/>
                    <w:ind w:right="-143" w:firstLine="0"/>
                    <w:rPr>
                      <w:bCs/>
                      <w:sz w:val="20"/>
                      <w:szCs w:val="20"/>
                    </w:rPr>
                  </w:pPr>
                  <w:r>
                    <w:rPr>
                      <w:bCs/>
                      <w:sz w:val="20"/>
                      <w:szCs w:val="20"/>
                    </w:rPr>
                    <w:t>Банк: Филиал «Корпоративный» ПАО «Совкомбанк» г. Москва</w:t>
                  </w:r>
                </w:p>
                <w:p w14:paraId="084BE5E6">
                  <w:pPr>
                    <w:spacing w:line="240" w:lineRule="auto"/>
                    <w:ind w:right="-143" w:firstLine="0"/>
                    <w:rPr>
                      <w:bCs/>
                      <w:sz w:val="20"/>
                      <w:szCs w:val="20"/>
                    </w:rPr>
                  </w:pPr>
                  <w:r>
                    <w:rPr>
                      <w:bCs/>
                      <w:sz w:val="20"/>
                      <w:szCs w:val="20"/>
                    </w:rPr>
                    <w:t>Корр. счет: 30101810445250000360</w:t>
                  </w:r>
                </w:p>
                <w:p w14:paraId="62BF6A44">
                  <w:pPr>
                    <w:spacing w:line="240" w:lineRule="auto"/>
                    <w:ind w:right="-143" w:firstLine="0"/>
                    <w:rPr>
                      <w:bCs/>
                      <w:sz w:val="20"/>
                      <w:szCs w:val="20"/>
                    </w:rPr>
                  </w:pPr>
                  <w:r>
                    <w:rPr>
                      <w:bCs/>
                      <w:sz w:val="20"/>
                      <w:szCs w:val="20"/>
                    </w:rPr>
                    <w:t>БИК: 044525360</w:t>
                  </w:r>
                </w:p>
                <w:p w14:paraId="660FFDCD">
                  <w:pPr>
                    <w:spacing w:line="240" w:lineRule="auto"/>
                    <w:ind w:right="-143" w:firstLine="0"/>
                    <w:rPr>
                      <w:bCs/>
                      <w:sz w:val="21"/>
                      <w:szCs w:val="21"/>
                    </w:rPr>
                  </w:pPr>
                  <w:r>
                    <w:rPr>
                      <w:bCs/>
                      <w:sz w:val="20"/>
                      <w:szCs w:val="20"/>
                      <w:lang w:val="en-US"/>
                    </w:rPr>
                    <w:t>e</w:t>
                  </w:r>
                  <w:r>
                    <w:rPr>
                      <w:bCs/>
                      <w:sz w:val="20"/>
                      <w:szCs w:val="20"/>
                    </w:rPr>
                    <w:t>-</w:t>
                  </w:r>
                  <w:r>
                    <w:rPr>
                      <w:bCs/>
                      <w:sz w:val="20"/>
                      <w:szCs w:val="20"/>
                      <w:lang w:val="en-US"/>
                    </w:rPr>
                    <w:t>mail</w:t>
                  </w:r>
                  <w:r>
                    <w:rPr>
                      <w:bCs/>
                      <w:sz w:val="20"/>
                      <w:szCs w:val="20"/>
                    </w:rPr>
                    <w:t xml:space="preserve">: </w:t>
                  </w:r>
                  <w:r>
                    <w:rPr>
                      <w:bCs/>
                      <w:sz w:val="20"/>
                      <w:szCs w:val="20"/>
                      <w:lang w:val="en-US"/>
                    </w:rPr>
                    <w:t>vm</w:t>
                  </w:r>
                  <w:r>
                    <w:rPr>
                      <w:bCs/>
                      <w:sz w:val="20"/>
                      <w:szCs w:val="20"/>
                    </w:rPr>
                    <w:t>-</w:t>
                  </w:r>
                  <w:r>
                    <w:rPr>
                      <w:bCs/>
                      <w:sz w:val="20"/>
                      <w:szCs w:val="20"/>
                      <w:lang w:val="en-US"/>
                    </w:rPr>
                    <w:t>kompani</w:t>
                  </w:r>
                  <w:r>
                    <w:rPr>
                      <w:bCs/>
                      <w:sz w:val="20"/>
                      <w:szCs w:val="20"/>
                    </w:rPr>
                    <w:t>@</w:t>
                  </w:r>
                  <w:r>
                    <w:rPr>
                      <w:bCs/>
                      <w:sz w:val="20"/>
                      <w:szCs w:val="20"/>
                      <w:lang w:val="en-US"/>
                    </w:rPr>
                    <w:t>yandex</w:t>
                  </w:r>
                  <w:r>
                    <w:rPr>
                      <w:bCs/>
                      <w:sz w:val="20"/>
                      <w:szCs w:val="20"/>
                    </w:rPr>
                    <w:t>.</w:t>
                  </w:r>
                  <w:r>
                    <w:rPr>
                      <w:bCs/>
                      <w:sz w:val="20"/>
                      <w:szCs w:val="20"/>
                      <w:lang w:val="en-US"/>
                    </w:rPr>
                    <w:t>ru</w:t>
                  </w:r>
                </w:p>
              </w:tc>
              <w:tc>
                <w:tcPr>
                  <w:tcW w:w="5059" w:type="dxa"/>
                </w:tcPr>
                <w:p w14:paraId="0E88873B">
                  <w:pPr>
                    <w:spacing w:line="240" w:lineRule="auto"/>
                    <w:ind w:right="-143" w:firstLine="0"/>
                    <w:rPr>
                      <w:b/>
                      <w:sz w:val="21"/>
                      <w:szCs w:val="21"/>
                    </w:rPr>
                  </w:pPr>
                  <w:r>
                    <w:rPr>
                      <w:b/>
                      <w:sz w:val="21"/>
                      <w:szCs w:val="21"/>
                    </w:rPr>
                    <w:t>14.2. УЧАСТНИК:</w:t>
                  </w:r>
                </w:p>
                <w:p w14:paraId="26B8892C">
                  <w:pPr>
                    <w:widowControl/>
                    <w:suppressAutoHyphens w:val="0"/>
                    <w:autoSpaceDE w:val="0"/>
                    <w:autoSpaceDN w:val="0"/>
                    <w:adjustRightInd w:val="0"/>
                    <w:spacing w:line="240" w:lineRule="auto"/>
                    <w:ind w:firstLine="0"/>
                    <w:rPr>
                      <w:sz w:val="21"/>
                      <w:szCs w:val="21"/>
                    </w:rPr>
                  </w:pPr>
                  <w:r>
                    <w:rPr>
                      <w:b/>
                      <w:color w:val="000000"/>
                      <w:sz w:val="21"/>
                      <w:szCs w:val="21"/>
                      <w:lang w:eastAsia="ru-RU"/>
                    </w:rPr>
                    <w:t>Данные участника</w:t>
                  </w:r>
                </w:p>
                <w:p w14:paraId="64555F56">
                  <w:pPr>
                    <w:widowControl/>
                    <w:suppressAutoHyphens w:val="0"/>
                    <w:autoSpaceDE w:val="0"/>
                    <w:autoSpaceDN w:val="0"/>
                    <w:adjustRightInd w:val="0"/>
                    <w:spacing w:line="240" w:lineRule="auto"/>
                    <w:ind w:firstLine="0"/>
                    <w:rPr>
                      <w:bCs/>
                      <w:sz w:val="22"/>
                      <w:szCs w:val="22"/>
                    </w:rPr>
                  </w:pPr>
                  <w:r>
                    <w:rPr>
                      <w:bCs/>
                      <w:sz w:val="22"/>
                      <w:szCs w:val="22"/>
                    </w:rPr>
                    <w:t>___________________________________________,</w:t>
                  </w:r>
                </w:p>
                <w:p w14:paraId="3A3765B2">
                  <w:pPr>
                    <w:widowControl/>
                    <w:suppressAutoHyphens w:val="0"/>
                    <w:autoSpaceDE w:val="0"/>
                    <w:autoSpaceDN w:val="0"/>
                    <w:adjustRightInd w:val="0"/>
                    <w:spacing w:line="240" w:lineRule="auto"/>
                    <w:ind w:firstLine="0"/>
                    <w:rPr>
                      <w:bCs/>
                      <w:sz w:val="22"/>
                      <w:szCs w:val="22"/>
                    </w:rPr>
                  </w:pPr>
                  <w:r>
                    <w:rPr>
                      <w:bCs/>
                      <w:sz w:val="22"/>
                      <w:szCs w:val="22"/>
                    </w:rPr>
                    <w:t>дата рождения: ____________________г.,</w:t>
                  </w:r>
                </w:p>
                <w:p w14:paraId="7A453660">
                  <w:pPr>
                    <w:widowControl/>
                    <w:suppressAutoHyphens w:val="0"/>
                    <w:autoSpaceDE w:val="0"/>
                    <w:autoSpaceDN w:val="0"/>
                    <w:adjustRightInd w:val="0"/>
                    <w:spacing w:line="240" w:lineRule="auto"/>
                    <w:ind w:firstLine="0"/>
                    <w:rPr>
                      <w:bCs/>
                      <w:sz w:val="22"/>
                      <w:szCs w:val="22"/>
                    </w:rPr>
                  </w:pPr>
                  <w:r>
                    <w:rPr>
                      <w:bCs/>
                      <w:sz w:val="22"/>
                      <w:szCs w:val="22"/>
                    </w:rPr>
                    <w:t xml:space="preserve">место рождения: __________________________, паспорт гражданина РФ: серия: ___ №__________, </w:t>
                  </w:r>
                </w:p>
                <w:p w14:paraId="4C440379">
                  <w:pPr>
                    <w:widowControl/>
                    <w:suppressAutoHyphens w:val="0"/>
                    <w:autoSpaceDE w:val="0"/>
                    <w:autoSpaceDN w:val="0"/>
                    <w:adjustRightInd w:val="0"/>
                    <w:spacing w:line="240" w:lineRule="auto"/>
                    <w:ind w:firstLine="0"/>
                    <w:rPr>
                      <w:bCs/>
                      <w:sz w:val="22"/>
                      <w:szCs w:val="22"/>
                    </w:rPr>
                  </w:pPr>
                  <w:r>
                    <w:rPr>
                      <w:bCs/>
                      <w:sz w:val="22"/>
                      <w:szCs w:val="22"/>
                    </w:rPr>
                    <w:t>выдан:______________________________,</w:t>
                  </w:r>
                </w:p>
                <w:p w14:paraId="684629DF">
                  <w:pPr>
                    <w:widowControl/>
                    <w:suppressAutoHyphens w:val="0"/>
                    <w:autoSpaceDE w:val="0"/>
                    <w:autoSpaceDN w:val="0"/>
                    <w:adjustRightInd w:val="0"/>
                    <w:spacing w:line="240" w:lineRule="auto"/>
                    <w:ind w:firstLine="0"/>
                    <w:rPr>
                      <w:bCs/>
                      <w:sz w:val="22"/>
                      <w:szCs w:val="22"/>
                    </w:rPr>
                  </w:pPr>
                  <w:r>
                    <w:rPr>
                      <w:bCs/>
                      <w:sz w:val="22"/>
                      <w:szCs w:val="22"/>
                    </w:rPr>
                    <w:t>код подразделения. ___-__,</w:t>
                  </w:r>
                </w:p>
                <w:p w14:paraId="66C145F2">
                  <w:pPr>
                    <w:widowControl/>
                    <w:suppressAutoHyphens w:val="0"/>
                    <w:autoSpaceDE w:val="0"/>
                    <w:autoSpaceDN w:val="0"/>
                    <w:adjustRightInd w:val="0"/>
                    <w:spacing w:line="240" w:lineRule="auto"/>
                    <w:ind w:firstLine="0"/>
                    <w:rPr>
                      <w:bCs/>
                      <w:sz w:val="22"/>
                      <w:szCs w:val="22"/>
                    </w:rPr>
                  </w:pPr>
                  <w:r>
                    <w:rPr>
                      <w:bCs/>
                      <w:sz w:val="22"/>
                      <w:szCs w:val="22"/>
                    </w:rPr>
                    <w:t>адрес регистрации: ____________________,</w:t>
                  </w:r>
                </w:p>
                <w:p w14:paraId="1FA5515F">
                  <w:pPr>
                    <w:widowControl/>
                    <w:suppressAutoHyphens w:val="0"/>
                    <w:autoSpaceDE w:val="0"/>
                    <w:autoSpaceDN w:val="0"/>
                    <w:adjustRightInd w:val="0"/>
                    <w:spacing w:line="240" w:lineRule="auto"/>
                    <w:ind w:firstLine="0"/>
                    <w:rPr>
                      <w:bCs/>
                      <w:sz w:val="22"/>
                      <w:szCs w:val="22"/>
                    </w:rPr>
                  </w:pPr>
                  <w:r>
                    <w:rPr>
                      <w:bCs/>
                      <w:sz w:val="22"/>
                      <w:szCs w:val="22"/>
                    </w:rPr>
                    <w:t>ИНН _____________________________</w:t>
                  </w:r>
                </w:p>
                <w:p w14:paraId="242F780A">
                  <w:pPr>
                    <w:widowControl/>
                    <w:suppressAutoHyphens w:val="0"/>
                    <w:autoSpaceDE w:val="0"/>
                    <w:autoSpaceDN w:val="0"/>
                    <w:adjustRightInd w:val="0"/>
                    <w:spacing w:line="240" w:lineRule="auto"/>
                    <w:ind w:firstLine="0"/>
                    <w:rPr>
                      <w:bCs/>
                      <w:sz w:val="22"/>
                      <w:szCs w:val="22"/>
                    </w:rPr>
                  </w:pPr>
                  <w:r>
                    <w:rPr>
                      <w:bCs/>
                      <w:sz w:val="22"/>
                      <w:szCs w:val="22"/>
                    </w:rPr>
                    <w:t>СНИЛС__________________________</w:t>
                  </w:r>
                </w:p>
                <w:p w14:paraId="4C1CD8E5">
                  <w:pPr>
                    <w:widowControl/>
                    <w:suppressAutoHyphens w:val="0"/>
                    <w:autoSpaceDE w:val="0"/>
                    <w:autoSpaceDN w:val="0"/>
                    <w:adjustRightInd w:val="0"/>
                    <w:spacing w:line="240" w:lineRule="auto"/>
                    <w:ind w:firstLine="0"/>
                    <w:rPr>
                      <w:bCs/>
                      <w:sz w:val="22"/>
                      <w:szCs w:val="22"/>
                    </w:rPr>
                  </w:pPr>
                  <w:r>
                    <w:rPr>
                      <w:bCs/>
                      <w:sz w:val="22"/>
                      <w:szCs w:val="22"/>
                    </w:rPr>
                    <w:t>Контактный телефон: ____________________________</w:t>
                  </w:r>
                </w:p>
                <w:p w14:paraId="3DCB6B9E">
                  <w:pPr>
                    <w:spacing w:line="240" w:lineRule="auto"/>
                    <w:ind w:right="-143" w:firstLine="0"/>
                    <w:rPr>
                      <w:b/>
                      <w:sz w:val="21"/>
                      <w:szCs w:val="21"/>
                    </w:rPr>
                  </w:pPr>
                  <w:r>
                    <w:rPr>
                      <w:bCs/>
                      <w:sz w:val="22"/>
                      <w:szCs w:val="22"/>
                    </w:rPr>
                    <w:t>Адрес для отправки почтовой корреспонденц</w:t>
                  </w:r>
                </w:p>
              </w:tc>
            </w:tr>
            <w:tr w14:paraId="5DCE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5058" w:type="dxa"/>
                </w:tcPr>
                <w:p w14:paraId="6A6E8B97">
                  <w:pPr>
                    <w:spacing w:line="240" w:lineRule="auto"/>
                    <w:ind w:right="-143" w:firstLine="0"/>
                    <w:rPr>
                      <w:b/>
                      <w:sz w:val="21"/>
                      <w:szCs w:val="21"/>
                    </w:rPr>
                  </w:pPr>
                  <w:r>
                    <w:rPr>
                      <w:b/>
                      <w:sz w:val="21"/>
                      <w:szCs w:val="21"/>
                    </w:rPr>
                    <w:t xml:space="preserve"> директор</w:t>
                  </w:r>
                </w:p>
                <w:p w14:paraId="15B7CFD1">
                  <w:pPr>
                    <w:ind w:firstLine="0"/>
                    <w:jc w:val="right"/>
                    <w:rPr>
                      <w:b/>
                      <w:sz w:val="21"/>
                      <w:szCs w:val="21"/>
                    </w:rPr>
                  </w:pPr>
                  <w:r>
                    <w:rPr>
                      <w:b/>
                      <w:sz w:val="21"/>
                      <w:szCs w:val="21"/>
                    </w:rPr>
                    <w:t xml:space="preserve">                                 </w:t>
                  </w:r>
                </w:p>
                <w:p w14:paraId="2DEE0A54">
                  <w:pPr>
                    <w:ind w:firstLine="0"/>
                    <w:jc w:val="right"/>
                    <w:rPr>
                      <w:sz w:val="21"/>
                      <w:szCs w:val="21"/>
                    </w:rPr>
                  </w:pPr>
                  <w:r>
                    <w:rPr>
                      <w:b/>
                      <w:sz w:val="21"/>
                      <w:szCs w:val="21"/>
                    </w:rPr>
                    <w:t>__________________/</w:t>
                  </w:r>
                  <w:r>
                    <w:rPr>
                      <w:b/>
                      <w:sz w:val="21"/>
                      <w:szCs w:val="21"/>
                      <w:lang w:val="ru-RU"/>
                    </w:rPr>
                    <w:t>Р</w:t>
                  </w:r>
                  <w:r>
                    <w:rPr>
                      <w:rFonts w:hint="default"/>
                      <w:b/>
                      <w:sz w:val="21"/>
                      <w:szCs w:val="21"/>
                      <w:lang w:val="ru-RU"/>
                    </w:rPr>
                    <w:t>.Р.Хуснутдинов</w:t>
                  </w:r>
                  <w:r>
                    <w:rPr>
                      <w:b/>
                      <w:sz w:val="21"/>
                      <w:szCs w:val="21"/>
                    </w:rPr>
                    <w:t>/</w:t>
                  </w:r>
                </w:p>
                <w:p w14:paraId="200F16A1">
                  <w:pPr>
                    <w:spacing w:line="240" w:lineRule="auto"/>
                    <w:ind w:right="-143" w:firstLine="0"/>
                    <w:rPr>
                      <w:b/>
                      <w:sz w:val="21"/>
                      <w:szCs w:val="21"/>
                    </w:rPr>
                  </w:pPr>
                </w:p>
              </w:tc>
              <w:tc>
                <w:tcPr>
                  <w:tcW w:w="5059" w:type="dxa"/>
                </w:tcPr>
                <w:p w14:paraId="7DE3D75B">
                  <w:pPr>
                    <w:spacing w:line="240" w:lineRule="auto"/>
                    <w:ind w:right="-143" w:firstLine="0"/>
                    <w:jc w:val="center"/>
                    <w:rPr>
                      <w:b/>
                      <w:sz w:val="21"/>
                      <w:szCs w:val="21"/>
                    </w:rPr>
                  </w:pPr>
                </w:p>
                <w:p w14:paraId="38CDED1F">
                  <w:pPr>
                    <w:spacing w:line="240" w:lineRule="auto"/>
                    <w:ind w:right="-143" w:firstLine="0"/>
                    <w:jc w:val="right"/>
                    <w:rPr>
                      <w:b/>
                      <w:sz w:val="21"/>
                      <w:szCs w:val="21"/>
                    </w:rPr>
                  </w:pPr>
                </w:p>
                <w:p w14:paraId="28C9B918">
                  <w:pPr>
                    <w:spacing w:line="240" w:lineRule="auto"/>
                    <w:ind w:right="-143" w:firstLine="0"/>
                    <w:jc w:val="right"/>
                    <w:rPr>
                      <w:b/>
                      <w:sz w:val="21"/>
                      <w:szCs w:val="21"/>
                    </w:rPr>
                  </w:pPr>
                  <w:r>
                    <w:rPr>
                      <w:b/>
                      <w:sz w:val="21"/>
                      <w:szCs w:val="21"/>
                    </w:rPr>
                    <w:t>____________________/</w:t>
                  </w:r>
                  <w:r>
                    <w:rPr>
                      <w:b/>
                      <w:color w:val="000000"/>
                      <w:sz w:val="21"/>
                      <w:szCs w:val="21"/>
                      <w:lang w:eastAsia="ru-RU"/>
                    </w:rPr>
                    <w:t xml:space="preserve"> ФИО</w:t>
                  </w:r>
                  <w:r>
                    <w:rPr>
                      <w:b/>
                      <w:sz w:val="21"/>
                      <w:szCs w:val="21"/>
                    </w:rPr>
                    <w:t>/</w:t>
                  </w:r>
                </w:p>
              </w:tc>
            </w:tr>
          </w:tbl>
          <w:p w14:paraId="57BA9BC4">
            <w:pPr>
              <w:pStyle w:val="31"/>
              <w:ind w:left="0" w:right="-143" w:firstLine="0"/>
              <w:rPr>
                <w:sz w:val="21"/>
                <w:szCs w:val="21"/>
              </w:rPr>
            </w:pPr>
          </w:p>
        </w:tc>
      </w:tr>
    </w:tbl>
    <w:p w14:paraId="70DD9898">
      <w:pPr>
        <w:spacing w:line="240" w:lineRule="auto"/>
        <w:ind w:right="-143" w:firstLine="709"/>
        <w:jc w:val="both"/>
        <w:rPr>
          <w:sz w:val="21"/>
          <w:szCs w:val="21"/>
        </w:rPr>
        <w:sectPr>
          <w:footerReference r:id="rId5" w:type="default"/>
          <w:pgSz w:w="11906" w:h="16838"/>
          <w:pgMar w:top="426" w:right="849" w:bottom="426" w:left="851" w:header="0" w:footer="426" w:gutter="0"/>
          <w:pgNumType w:start="1"/>
          <w:cols w:space="720" w:num="1"/>
          <w:formProt w:val="0"/>
          <w:docGrid w:linePitch="360" w:charSpace="6143"/>
        </w:sectPr>
      </w:pPr>
    </w:p>
    <w:p w14:paraId="2CD5A5D2">
      <w:pPr>
        <w:ind w:firstLine="0"/>
        <w:jc w:val="both"/>
        <w:rPr>
          <w:bCs/>
          <w:color w:val="000000" w:themeColor="text1"/>
          <w:sz w:val="21"/>
          <w:szCs w:val="21"/>
          <w14:textFill>
            <w14:solidFill>
              <w14:schemeClr w14:val="tx1"/>
            </w14:solidFill>
          </w14:textFill>
        </w:rPr>
      </w:pPr>
    </w:p>
    <w:sectPr>
      <w:footerReference r:id="rId6" w:type="default"/>
      <w:pgSz w:w="11906" w:h="16838"/>
      <w:pgMar w:top="426" w:right="849" w:bottom="284" w:left="851" w:header="0" w:footer="426" w:gutter="0"/>
      <w:pgNumType w:start="1"/>
      <w:cols w:space="720" w:num="1"/>
      <w:formProt w:val="0"/>
      <w:docGrid w:linePitch="360" w:charSpace="61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Liberation Sans">
    <w:panose1 w:val="020B0604020202020204"/>
    <w:charset w:val="CC"/>
    <w:family w:val="swiss"/>
    <w:pitch w:val="default"/>
    <w:sig w:usb0="E0000AFF" w:usb1="500078FF" w:usb2="00000021" w:usb3="00000000" w:csb0="600001BF" w:csb1="DFF70000"/>
  </w:font>
  <w:font w:name="Microsoft YaHei">
    <w:panose1 w:val="020B0503020204020204"/>
    <w:charset w:val="86"/>
    <w:family w:val="swiss"/>
    <w:pitch w:val="default"/>
    <w:sig w:usb0="80000287" w:usb1="2ACF3C50" w:usb2="00000016" w:usb3="00000000" w:csb0="0004001F" w:csb1="00000000"/>
  </w:font>
  <w:font w:name="Mangal">
    <w:altName w:val="AMGDT"/>
    <w:panose1 w:val="00000400000000000000"/>
    <w:charset w:val="01"/>
    <w:family w:val="roman"/>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auto"/>
      </w:rPr>
      <w:id w:val="11020751"/>
      <w:docPartObj>
        <w:docPartGallery w:val="AutoText"/>
      </w:docPartObj>
    </w:sdtPr>
    <w:sdtEndPr>
      <w:rPr>
        <w:color w:val="auto"/>
      </w:rPr>
    </w:sdtEndPr>
    <w:sdtContent>
      <w:p w14:paraId="2D06F618">
        <w:pPr>
          <w:pStyle w:val="16"/>
          <w:jc w:val="right"/>
        </w:pPr>
        <w:r>
          <w:fldChar w:fldCharType="begin"/>
        </w:r>
        <w:r>
          <w:instrText xml:space="preserve"> PAGE   \* MERGEFORMAT </w:instrText>
        </w:r>
        <w:r>
          <w:fldChar w:fldCharType="separate"/>
        </w:r>
        <w:r>
          <w:t>1</w:t>
        </w:r>
        <w:r>
          <w:fldChar w:fldCharType="end"/>
        </w:r>
      </w:p>
    </w:sdtContent>
  </w:sdt>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1"/>
      <w:gridCol w:w="5211"/>
    </w:tblGrid>
    <w:tr w14:paraId="3AD4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1" w:type="dxa"/>
        </w:tcPr>
        <w:p w14:paraId="3791240B">
          <w:pPr>
            <w:pStyle w:val="16"/>
            <w:ind w:firstLine="0"/>
          </w:pPr>
          <w:bookmarkStart w:id="18" w:name="_Hlk222387082"/>
          <w:r>
            <w:t>_______________/ЗАСТРОЙЩИК/</w:t>
          </w:r>
        </w:p>
      </w:tc>
      <w:tc>
        <w:tcPr>
          <w:tcW w:w="5211" w:type="dxa"/>
        </w:tcPr>
        <w:p w14:paraId="562093D6">
          <w:pPr>
            <w:pStyle w:val="16"/>
            <w:ind w:firstLine="0"/>
          </w:pPr>
          <w:r>
            <w:t>_______________/УЧАСТНИК/</w:t>
          </w:r>
        </w:p>
      </w:tc>
    </w:tr>
    <w:bookmarkEnd w:id="18"/>
  </w:tbl>
  <w:p w14:paraId="7F1BBDF9">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D5E03">
    <w:pPr>
      <w:pStyle w:val="16"/>
      <w:jc w:val="right"/>
    </w:pPr>
  </w:p>
  <w:p w14:paraId="312A585F">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52" w:lineRule="auto"/>
      </w:pPr>
      <w:r>
        <w:separator/>
      </w:r>
    </w:p>
  </w:footnote>
  <w:footnote w:type="continuationSeparator" w:id="1">
    <w:p>
      <w:pPr>
        <w:spacing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D0329A"/>
    <w:multiLevelType w:val="multilevel"/>
    <w:tmpl w:val="7BD0329A"/>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51"/>
    <w:rsid w:val="00001970"/>
    <w:rsid w:val="0000611B"/>
    <w:rsid w:val="00007BE8"/>
    <w:rsid w:val="000120A8"/>
    <w:rsid w:val="00012B66"/>
    <w:rsid w:val="00015080"/>
    <w:rsid w:val="0002049B"/>
    <w:rsid w:val="000225EB"/>
    <w:rsid w:val="00024827"/>
    <w:rsid w:val="00025DA5"/>
    <w:rsid w:val="00026E96"/>
    <w:rsid w:val="000275FF"/>
    <w:rsid w:val="00032A27"/>
    <w:rsid w:val="00034AFA"/>
    <w:rsid w:val="00041E15"/>
    <w:rsid w:val="000427A9"/>
    <w:rsid w:val="0004504D"/>
    <w:rsid w:val="00045F54"/>
    <w:rsid w:val="00066372"/>
    <w:rsid w:val="000836A4"/>
    <w:rsid w:val="000952A8"/>
    <w:rsid w:val="000A1BFF"/>
    <w:rsid w:val="000A4D1C"/>
    <w:rsid w:val="000A5255"/>
    <w:rsid w:val="000B06AC"/>
    <w:rsid w:val="000C0F4C"/>
    <w:rsid w:val="000D4F77"/>
    <w:rsid w:val="000D55C8"/>
    <w:rsid w:val="000D5F71"/>
    <w:rsid w:val="000D75F1"/>
    <w:rsid w:val="000E08B3"/>
    <w:rsid w:val="000E2469"/>
    <w:rsid w:val="000E7F72"/>
    <w:rsid w:val="000F3010"/>
    <w:rsid w:val="000F3F8C"/>
    <w:rsid w:val="000F4258"/>
    <w:rsid w:val="000F4EBF"/>
    <w:rsid w:val="000F65C8"/>
    <w:rsid w:val="001010BD"/>
    <w:rsid w:val="00102E45"/>
    <w:rsid w:val="00114A0E"/>
    <w:rsid w:val="00123D26"/>
    <w:rsid w:val="00124CAB"/>
    <w:rsid w:val="00126113"/>
    <w:rsid w:val="001304A6"/>
    <w:rsid w:val="00132796"/>
    <w:rsid w:val="00133A2F"/>
    <w:rsid w:val="001349A4"/>
    <w:rsid w:val="00135B21"/>
    <w:rsid w:val="00136CE3"/>
    <w:rsid w:val="00142C11"/>
    <w:rsid w:val="0014396E"/>
    <w:rsid w:val="001450E2"/>
    <w:rsid w:val="00145302"/>
    <w:rsid w:val="00147AF3"/>
    <w:rsid w:val="00152476"/>
    <w:rsid w:val="001563F8"/>
    <w:rsid w:val="00162A33"/>
    <w:rsid w:val="00162D26"/>
    <w:rsid w:val="001668D6"/>
    <w:rsid w:val="0017113E"/>
    <w:rsid w:val="00173FD5"/>
    <w:rsid w:val="00186797"/>
    <w:rsid w:val="00190D74"/>
    <w:rsid w:val="0019740C"/>
    <w:rsid w:val="001A26D4"/>
    <w:rsid w:val="001A77BB"/>
    <w:rsid w:val="001B0252"/>
    <w:rsid w:val="001B2A27"/>
    <w:rsid w:val="001B2EE2"/>
    <w:rsid w:val="001B6126"/>
    <w:rsid w:val="001C0227"/>
    <w:rsid w:val="001C3FA8"/>
    <w:rsid w:val="001D0B40"/>
    <w:rsid w:val="001D1C89"/>
    <w:rsid w:val="001D5C0E"/>
    <w:rsid w:val="001D6558"/>
    <w:rsid w:val="001E4554"/>
    <w:rsid w:val="001E6932"/>
    <w:rsid w:val="001E70EF"/>
    <w:rsid w:val="001F666D"/>
    <w:rsid w:val="001F7920"/>
    <w:rsid w:val="002042BC"/>
    <w:rsid w:val="002139DE"/>
    <w:rsid w:val="00217D86"/>
    <w:rsid w:val="00225CAD"/>
    <w:rsid w:val="00227E58"/>
    <w:rsid w:val="0023391F"/>
    <w:rsid w:val="00235692"/>
    <w:rsid w:val="002508F8"/>
    <w:rsid w:val="0025606E"/>
    <w:rsid w:val="00262245"/>
    <w:rsid w:val="0026338C"/>
    <w:rsid w:val="00265ECD"/>
    <w:rsid w:val="00266AB5"/>
    <w:rsid w:val="00273B41"/>
    <w:rsid w:val="00274109"/>
    <w:rsid w:val="00276BEA"/>
    <w:rsid w:val="00277EDD"/>
    <w:rsid w:val="00282FC4"/>
    <w:rsid w:val="00286079"/>
    <w:rsid w:val="00291CA4"/>
    <w:rsid w:val="002A3C97"/>
    <w:rsid w:val="002A4957"/>
    <w:rsid w:val="002A5484"/>
    <w:rsid w:val="002A6DB6"/>
    <w:rsid w:val="002A7705"/>
    <w:rsid w:val="002B0443"/>
    <w:rsid w:val="002B17D4"/>
    <w:rsid w:val="002B1BE1"/>
    <w:rsid w:val="002C53AC"/>
    <w:rsid w:val="002C5B76"/>
    <w:rsid w:val="002D3ED1"/>
    <w:rsid w:val="002E28FE"/>
    <w:rsid w:val="002E4AE7"/>
    <w:rsid w:val="002F3A23"/>
    <w:rsid w:val="002F56F6"/>
    <w:rsid w:val="002F691C"/>
    <w:rsid w:val="00301BB1"/>
    <w:rsid w:val="00305C29"/>
    <w:rsid w:val="00305EA7"/>
    <w:rsid w:val="00310511"/>
    <w:rsid w:val="0031128C"/>
    <w:rsid w:val="003145CE"/>
    <w:rsid w:val="00321A75"/>
    <w:rsid w:val="00322947"/>
    <w:rsid w:val="00333773"/>
    <w:rsid w:val="00334BF2"/>
    <w:rsid w:val="00335871"/>
    <w:rsid w:val="00344DCD"/>
    <w:rsid w:val="00351879"/>
    <w:rsid w:val="0036102B"/>
    <w:rsid w:val="00363C77"/>
    <w:rsid w:val="00365E89"/>
    <w:rsid w:val="00380763"/>
    <w:rsid w:val="00380EF9"/>
    <w:rsid w:val="00391207"/>
    <w:rsid w:val="00391D0E"/>
    <w:rsid w:val="00393097"/>
    <w:rsid w:val="003A1DA5"/>
    <w:rsid w:val="003A37EC"/>
    <w:rsid w:val="003A3802"/>
    <w:rsid w:val="003B17AD"/>
    <w:rsid w:val="003B6240"/>
    <w:rsid w:val="003C3DC9"/>
    <w:rsid w:val="003C722F"/>
    <w:rsid w:val="003C75C9"/>
    <w:rsid w:val="003D7CAF"/>
    <w:rsid w:val="003E12C8"/>
    <w:rsid w:val="003F43BD"/>
    <w:rsid w:val="00416868"/>
    <w:rsid w:val="0042199C"/>
    <w:rsid w:val="00424144"/>
    <w:rsid w:val="004244C7"/>
    <w:rsid w:val="00424925"/>
    <w:rsid w:val="004332DF"/>
    <w:rsid w:val="004342B8"/>
    <w:rsid w:val="00435E36"/>
    <w:rsid w:val="00440BCC"/>
    <w:rsid w:val="0044148B"/>
    <w:rsid w:val="00442AE0"/>
    <w:rsid w:val="00445035"/>
    <w:rsid w:val="0046459B"/>
    <w:rsid w:val="004675A3"/>
    <w:rsid w:val="00471633"/>
    <w:rsid w:val="004717B4"/>
    <w:rsid w:val="00472441"/>
    <w:rsid w:val="004725CA"/>
    <w:rsid w:val="00473C9F"/>
    <w:rsid w:val="00475CBF"/>
    <w:rsid w:val="00477E8D"/>
    <w:rsid w:val="00482E3F"/>
    <w:rsid w:val="0048333E"/>
    <w:rsid w:val="0049163F"/>
    <w:rsid w:val="00492D8B"/>
    <w:rsid w:val="00496284"/>
    <w:rsid w:val="004A3426"/>
    <w:rsid w:val="004A68A5"/>
    <w:rsid w:val="004B0B3A"/>
    <w:rsid w:val="004B706F"/>
    <w:rsid w:val="004C108E"/>
    <w:rsid w:val="004C46EA"/>
    <w:rsid w:val="004D59B4"/>
    <w:rsid w:val="004E0846"/>
    <w:rsid w:val="004F7D0F"/>
    <w:rsid w:val="00511042"/>
    <w:rsid w:val="0051294A"/>
    <w:rsid w:val="00521268"/>
    <w:rsid w:val="005235F0"/>
    <w:rsid w:val="00527BCA"/>
    <w:rsid w:val="0053025E"/>
    <w:rsid w:val="005344E9"/>
    <w:rsid w:val="00534CF7"/>
    <w:rsid w:val="005350BD"/>
    <w:rsid w:val="0054339A"/>
    <w:rsid w:val="00543EC9"/>
    <w:rsid w:val="00544ABE"/>
    <w:rsid w:val="005500DB"/>
    <w:rsid w:val="005503D8"/>
    <w:rsid w:val="00550DA4"/>
    <w:rsid w:val="005563D4"/>
    <w:rsid w:val="0055749E"/>
    <w:rsid w:val="00561AE0"/>
    <w:rsid w:val="00576B0D"/>
    <w:rsid w:val="00582DB3"/>
    <w:rsid w:val="005836B6"/>
    <w:rsid w:val="00584A22"/>
    <w:rsid w:val="00584A68"/>
    <w:rsid w:val="005851C0"/>
    <w:rsid w:val="005855D0"/>
    <w:rsid w:val="0058624F"/>
    <w:rsid w:val="00597063"/>
    <w:rsid w:val="0059712C"/>
    <w:rsid w:val="005A0C6C"/>
    <w:rsid w:val="005B18E7"/>
    <w:rsid w:val="005B1A05"/>
    <w:rsid w:val="005B277C"/>
    <w:rsid w:val="005B29EB"/>
    <w:rsid w:val="005B4B94"/>
    <w:rsid w:val="005B55D7"/>
    <w:rsid w:val="005B7793"/>
    <w:rsid w:val="005C3E8A"/>
    <w:rsid w:val="005C4D9F"/>
    <w:rsid w:val="005C5D30"/>
    <w:rsid w:val="005D04A5"/>
    <w:rsid w:val="005E168F"/>
    <w:rsid w:val="005F130F"/>
    <w:rsid w:val="005F15F8"/>
    <w:rsid w:val="005F5331"/>
    <w:rsid w:val="005F5A59"/>
    <w:rsid w:val="00606359"/>
    <w:rsid w:val="006108F4"/>
    <w:rsid w:val="006150B9"/>
    <w:rsid w:val="00642EBE"/>
    <w:rsid w:val="00643AA3"/>
    <w:rsid w:val="00643F05"/>
    <w:rsid w:val="0065089E"/>
    <w:rsid w:val="00650DC2"/>
    <w:rsid w:val="00651FE5"/>
    <w:rsid w:val="0065666C"/>
    <w:rsid w:val="0066023B"/>
    <w:rsid w:val="00660272"/>
    <w:rsid w:val="006659DE"/>
    <w:rsid w:val="00666965"/>
    <w:rsid w:val="00672B5B"/>
    <w:rsid w:val="0067646D"/>
    <w:rsid w:val="00680A39"/>
    <w:rsid w:val="0068521C"/>
    <w:rsid w:val="00686ED5"/>
    <w:rsid w:val="00694231"/>
    <w:rsid w:val="00694E2F"/>
    <w:rsid w:val="00697CDB"/>
    <w:rsid w:val="006A2C06"/>
    <w:rsid w:val="006A3A8B"/>
    <w:rsid w:val="006B20AD"/>
    <w:rsid w:val="006B2DCF"/>
    <w:rsid w:val="006B79F1"/>
    <w:rsid w:val="006D068A"/>
    <w:rsid w:val="006D1421"/>
    <w:rsid w:val="006D29C5"/>
    <w:rsid w:val="006D381E"/>
    <w:rsid w:val="006E094F"/>
    <w:rsid w:val="006E2EC4"/>
    <w:rsid w:val="006E31FF"/>
    <w:rsid w:val="006F00EC"/>
    <w:rsid w:val="006F417B"/>
    <w:rsid w:val="006F5E49"/>
    <w:rsid w:val="006F7D08"/>
    <w:rsid w:val="007051FD"/>
    <w:rsid w:val="0071386A"/>
    <w:rsid w:val="00714812"/>
    <w:rsid w:val="00730094"/>
    <w:rsid w:val="00730653"/>
    <w:rsid w:val="00731BFA"/>
    <w:rsid w:val="00732988"/>
    <w:rsid w:val="00743848"/>
    <w:rsid w:val="00746201"/>
    <w:rsid w:val="00757E8F"/>
    <w:rsid w:val="00763869"/>
    <w:rsid w:val="00765D51"/>
    <w:rsid w:val="00767866"/>
    <w:rsid w:val="00772103"/>
    <w:rsid w:val="00773A9B"/>
    <w:rsid w:val="007777D4"/>
    <w:rsid w:val="007811AB"/>
    <w:rsid w:val="00791C19"/>
    <w:rsid w:val="00793690"/>
    <w:rsid w:val="00793DD2"/>
    <w:rsid w:val="007A2BAF"/>
    <w:rsid w:val="007C1040"/>
    <w:rsid w:val="007C4EDB"/>
    <w:rsid w:val="007D7085"/>
    <w:rsid w:val="007E06F5"/>
    <w:rsid w:val="007F3063"/>
    <w:rsid w:val="007F63B6"/>
    <w:rsid w:val="007F71F2"/>
    <w:rsid w:val="008035D4"/>
    <w:rsid w:val="008052DC"/>
    <w:rsid w:val="0080666F"/>
    <w:rsid w:val="00807B0D"/>
    <w:rsid w:val="00807F22"/>
    <w:rsid w:val="00810E64"/>
    <w:rsid w:val="00814125"/>
    <w:rsid w:val="00814360"/>
    <w:rsid w:val="00822383"/>
    <w:rsid w:val="00832AE9"/>
    <w:rsid w:val="008331C3"/>
    <w:rsid w:val="00841B6D"/>
    <w:rsid w:val="00845DDD"/>
    <w:rsid w:val="008503FD"/>
    <w:rsid w:val="0085174C"/>
    <w:rsid w:val="008553EC"/>
    <w:rsid w:val="00856064"/>
    <w:rsid w:val="00865085"/>
    <w:rsid w:val="00871D1B"/>
    <w:rsid w:val="00873EA7"/>
    <w:rsid w:val="00875F1A"/>
    <w:rsid w:val="00875F3B"/>
    <w:rsid w:val="0088357A"/>
    <w:rsid w:val="00885026"/>
    <w:rsid w:val="00885D85"/>
    <w:rsid w:val="00886165"/>
    <w:rsid w:val="00895786"/>
    <w:rsid w:val="008A2A86"/>
    <w:rsid w:val="008A3496"/>
    <w:rsid w:val="008A3CF1"/>
    <w:rsid w:val="008B01BA"/>
    <w:rsid w:val="008B165C"/>
    <w:rsid w:val="008B3943"/>
    <w:rsid w:val="008B5CAB"/>
    <w:rsid w:val="008B658A"/>
    <w:rsid w:val="008C01D3"/>
    <w:rsid w:val="008C12AE"/>
    <w:rsid w:val="008C48A4"/>
    <w:rsid w:val="008C7955"/>
    <w:rsid w:val="008D1C56"/>
    <w:rsid w:val="008D1ECF"/>
    <w:rsid w:val="008D47E4"/>
    <w:rsid w:val="008E5004"/>
    <w:rsid w:val="008E587B"/>
    <w:rsid w:val="008F4D6B"/>
    <w:rsid w:val="008F6D81"/>
    <w:rsid w:val="008F7152"/>
    <w:rsid w:val="008F7E1D"/>
    <w:rsid w:val="009120C7"/>
    <w:rsid w:val="00916E81"/>
    <w:rsid w:val="0092184D"/>
    <w:rsid w:val="009226C0"/>
    <w:rsid w:val="00926FAC"/>
    <w:rsid w:val="0093566E"/>
    <w:rsid w:val="00944748"/>
    <w:rsid w:val="00945C3C"/>
    <w:rsid w:val="00952D8E"/>
    <w:rsid w:val="00961C51"/>
    <w:rsid w:val="00966B1A"/>
    <w:rsid w:val="00966F69"/>
    <w:rsid w:val="00972B05"/>
    <w:rsid w:val="00974269"/>
    <w:rsid w:val="009754DF"/>
    <w:rsid w:val="00975943"/>
    <w:rsid w:val="00976889"/>
    <w:rsid w:val="009A0C60"/>
    <w:rsid w:val="009A1A6A"/>
    <w:rsid w:val="009A1BDE"/>
    <w:rsid w:val="009A36DD"/>
    <w:rsid w:val="009B145D"/>
    <w:rsid w:val="009B26A6"/>
    <w:rsid w:val="009B4D60"/>
    <w:rsid w:val="009C1A54"/>
    <w:rsid w:val="009C1EC3"/>
    <w:rsid w:val="009D0AD3"/>
    <w:rsid w:val="009D78B6"/>
    <w:rsid w:val="009E18C3"/>
    <w:rsid w:val="009E609A"/>
    <w:rsid w:val="009F0199"/>
    <w:rsid w:val="009F125B"/>
    <w:rsid w:val="009F4EF2"/>
    <w:rsid w:val="009F5C21"/>
    <w:rsid w:val="00A07C93"/>
    <w:rsid w:val="00A07E84"/>
    <w:rsid w:val="00A1087D"/>
    <w:rsid w:val="00A165E3"/>
    <w:rsid w:val="00A21A44"/>
    <w:rsid w:val="00A25545"/>
    <w:rsid w:val="00A27848"/>
    <w:rsid w:val="00A32508"/>
    <w:rsid w:val="00A33A6C"/>
    <w:rsid w:val="00A348E4"/>
    <w:rsid w:val="00A34ABA"/>
    <w:rsid w:val="00A36E22"/>
    <w:rsid w:val="00A40A99"/>
    <w:rsid w:val="00A41C91"/>
    <w:rsid w:val="00A50865"/>
    <w:rsid w:val="00A57C8D"/>
    <w:rsid w:val="00A65C70"/>
    <w:rsid w:val="00A667D3"/>
    <w:rsid w:val="00A76433"/>
    <w:rsid w:val="00A77272"/>
    <w:rsid w:val="00A87B6F"/>
    <w:rsid w:val="00A93EE6"/>
    <w:rsid w:val="00AA1D5D"/>
    <w:rsid w:val="00AA5D5E"/>
    <w:rsid w:val="00AB023B"/>
    <w:rsid w:val="00AB3BEF"/>
    <w:rsid w:val="00AB5EB8"/>
    <w:rsid w:val="00AB676F"/>
    <w:rsid w:val="00AB7809"/>
    <w:rsid w:val="00AC6DE6"/>
    <w:rsid w:val="00AD074B"/>
    <w:rsid w:val="00AE3882"/>
    <w:rsid w:val="00AE69C5"/>
    <w:rsid w:val="00AE7565"/>
    <w:rsid w:val="00AF2362"/>
    <w:rsid w:val="00AF600D"/>
    <w:rsid w:val="00AF76B7"/>
    <w:rsid w:val="00B017C9"/>
    <w:rsid w:val="00B01980"/>
    <w:rsid w:val="00B10360"/>
    <w:rsid w:val="00B26B33"/>
    <w:rsid w:val="00B26E11"/>
    <w:rsid w:val="00B47B6C"/>
    <w:rsid w:val="00B52711"/>
    <w:rsid w:val="00B60E6A"/>
    <w:rsid w:val="00B62462"/>
    <w:rsid w:val="00B641FE"/>
    <w:rsid w:val="00B67D09"/>
    <w:rsid w:val="00B81343"/>
    <w:rsid w:val="00B954B6"/>
    <w:rsid w:val="00B97282"/>
    <w:rsid w:val="00BA33EB"/>
    <w:rsid w:val="00BA6558"/>
    <w:rsid w:val="00BB265E"/>
    <w:rsid w:val="00BB4418"/>
    <w:rsid w:val="00BB5022"/>
    <w:rsid w:val="00BB6651"/>
    <w:rsid w:val="00BC011A"/>
    <w:rsid w:val="00BC0AF3"/>
    <w:rsid w:val="00BC1C70"/>
    <w:rsid w:val="00BC2C4F"/>
    <w:rsid w:val="00BC450D"/>
    <w:rsid w:val="00BD2B8F"/>
    <w:rsid w:val="00BD3BF1"/>
    <w:rsid w:val="00BD3D24"/>
    <w:rsid w:val="00BD42BB"/>
    <w:rsid w:val="00BD6EEE"/>
    <w:rsid w:val="00BD7512"/>
    <w:rsid w:val="00BE089A"/>
    <w:rsid w:val="00BF04F1"/>
    <w:rsid w:val="00BF13CE"/>
    <w:rsid w:val="00C0047B"/>
    <w:rsid w:val="00C016CC"/>
    <w:rsid w:val="00C10315"/>
    <w:rsid w:val="00C200F9"/>
    <w:rsid w:val="00C23928"/>
    <w:rsid w:val="00C3755E"/>
    <w:rsid w:val="00C409FE"/>
    <w:rsid w:val="00C447D6"/>
    <w:rsid w:val="00C44E63"/>
    <w:rsid w:val="00C453EA"/>
    <w:rsid w:val="00C51A18"/>
    <w:rsid w:val="00C51F41"/>
    <w:rsid w:val="00C5550E"/>
    <w:rsid w:val="00C62A52"/>
    <w:rsid w:val="00C62C1F"/>
    <w:rsid w:val="00C65652"/>
    <w:rsid w:val="00C6646A"/>
    <w:rsid w:val="00C72200"/>
    <w:rsid w:val="00C93EAF"/>
    <w:rsid w:val="00C9774B"/>
    <w:rsid w:val="00CA0DA7"/>
    <w:rsid w:val="00CA0EAA"/>
    <w:rsid w:val="00CA1FBB"/>
    <w:rsid w:val="00CA268F"/>
    <w:rsid w:val="00CA31CC"/>
    <w:rsid w:val="00CA32FC"/>
    <w:rsid w:val="00CB3400"/>
    <w:rsid w:val="00CC01A3"/>
    <w:rsid w:val="00CC0DC9"/>
    <w:rsid w:val="00CC3F22"/>
    <w:rsid w:val="00CC4E57"/>
    <w:rsid w:val="00CC4F6C"/>
    <w:rsid w:val="00CC576C"/>
    <w:rsid w:val="00CD1E20"/>
    <w:rsid w:val="00CD2847"/>
    <w:rsid w:val="00CD2F87"/>
    <w:rsid w:val="00CD5232"/>
    <w:rsid w:val="00CD64A9"/>
    <w:rsid w:val="00CD66BA"/>
    <w:rsid w:val="00CD6BCB"/>
    <w:rsid w:val="00CD73AC"/>
    <w:rsid w:val="00CE15A4"/>
    <w:rsid w:val="00CE1892"/>
    <w:rsid w:val="00CF0CC2"/>
    <w:rsid w:val="00CF184D"/>
    <w:rsid w:val="00CF26C7"/>
    <w:rsid w:val="00CF4D46"/>
    <w:rsid w:val="00CF5202"/>
    <w:rsid w:val="00CF6A76"/>
    <w:rsid w:val="00D011BB"/>
    <w:rsid w:val="00D016A1"/>
    <w:rsid w:val="00D174C9"/>
    <w:rsid w:val="00D32D12"/>
    <w:rsid w:val="00D356B5"/>
    <w:rsid w:val="00D36B98"/>
    <w:rsid w:val="00D40C7E"/>
    <w:rsid w:val="00D428DA"/>
    <w:rsid w:val="00D43234"/>
    <w:rsid w:val="00D47C0B"/>
    <w:rsid w:val="00D5365B"/>
    <w:rsid w:val="00D5507E"/>
    <w:rsid w:val="00D55ED9"/>
    <w:rsid w:val="00D56F59"/>
    <w:rsid w:val="00D67D7E"/>
    <w:rsid w:val="00D707FC"/>
    <w:rsid w:val="00D73BA9"/>
    <w:rsid w:val="00D770D0"/>
    <w:rsid w:val="00D77E93"/>
    <w:rsid w:val="00D844A2"/>
    <w:rsid w:val="00D92685"/>
    <w:rsid w:val="00D92AF8"/>
    <w:rsid w:val="00D970A6"/>
    <w:rsid w:val="00D97DF5"/>
    <w:rsid w:val="00DA167D"/>
    <w:rsid w:val="00DA2867"/>
    <w:rsid w:val="00DA3387"/>
    <w:rsid w:val="00DA369B"/>
    <w:rsid w:val="00DA57A0"/>
    <w:rsid w:val="00DA5DF2"/>
    <w:rsid w:val="00DA70F3"/>
    <w:rsid w:val="00DA7728"/>
    <w:rsid w:val="00DB354D"/>
    <w:rsid w:val="00DB3717"/>
    <w:rsid w:val="00DB39F8"/>
    <w:rsid w:val="00DB3A7A"/>
    <w:rsid w:val="00DB68CA"/>
    <w:rsid w:val="00DB7FB6"/>
    <w:rsid w:val="00DC0445"/>
    <w:rsid w:val="00DC0803"/>
    <w:rsid w:val="00DC6A9D"/>
    <w:rsid w:val="00DD0B7B"/>
    <w:rsid w:val="00DD1E0C"/>
    <w:rsid w:val="00DD23B9"/>
    <w:rsid w:val="00DE5742"/>
    <w:rsid w:val="00DF02BC"/>
    <w:rsid w:val="00DF2E74"/>
    <w:rsid w:val="00DF665C"/>
    <w:rsid w:val="00DF685A"/>
    <w:rsid w:val="00E038AD"/>
    <w:rsid w:val="00E04652"/>
    <w:rsid w:val="00E166AF"/>
    <w:rsid w:val="00E16B70"/>
    <w:rsid w:val="00E171D1"/>
    <w:rsid w:val="00E23582"/>
    <w:rsid w:val="00E24C4B"/>
    <w:rsid w:val="00E25C28"/>
    <w:rsid w:val="00E304E3"/>
    <w:rsid w:val="00E3310B"/>
    <w:rsid w:val="00E40D90"/>
    <w:rsid w:val="00E42238"/>
    <w:rsid w:val="00E47592"/>
    <w:rsid w:val="00E54852"/>
    <w:rsid w:val="00E55F9E"/>
    <w:rsid w:val="00E63938"/>
    <w:rsid w:val="00E70C23"/>
    <w:rsid w:val="00E73F73"/>
    <w:rsid w:val="00E81F53"/>
    <w:rsid w:val="00E87BE3"/>
    <w:rsid w:val="00EA1235"/>
    <w:rsid w:val="00EB3314"/>
    <w:rsid w:val="00EB6A61"/>
    <w:rsid w:val="00EC438C"/>
    <w:rsid w:val="00ED4155"/>
    <w:rsid w:val="00ED7B5B"/>
    <w:rsid w:val="00ED7D3E"/>
    <w:rsid w:val="00EE0177"/>
    <w:rsid w:val="00EE0C07"/>
    <w:rsid w:val="00EE6DB4"/>
    <w:rsid w:val="00EF1B1A"/>
    <w:rsid w:val="00F15014"/>
    <w:rsid w:val="00F16B08"/>
    <w:rsid w:val="00F331AB"/>
    <w:rsid w:val="00F33B88"/>
    <w:rsid w:val="00F35DE4"/>
    <w:rsid w:val="00F3671C"/>
    <w:rsid w:val="00F5012E"/>
    <w:rsid w:val="00F5177C"/>
    <w:rsid w:val="00F64966"/>
    <w:rsid w:val="00F64D69"/>
    <w:rsid w:val="00F70202"/>
    <w:rsid w:val="00F70FAF"/>
    <w:rsid w:val="00F77C11"/>
    <w:rsid w:val="00F812F0"/>
    <w:rsid w:val="00F86CB1"/>
    <w:rsid w:val="00F86CF5"/>
    <w:rsid w:val="00F941EB"/>
    <w:rsid w:val="00F96B5E"/>
    <w:rsid w:val="00FA7F92"/>
    <w:rsid w:val="00FB16FA"/>
    <w:rsid w:val="00FB1BBD"/>
    <w:rsid w:val="00FC61C3"/>
    <w:rsid w:val="00FD3612"/>
    <w:rsid w:val="00FD3FC0"/>
    <w:rsid w:val="00FE11A9"/>
    <w:rsid w:val="00FF2175"/>
    <w:rsid w:val="00FF26BB"/>
    <w:rsid w:val="00FF6832"/>
    <w:rsid w:val="16837BE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pPr>
      <w:widowControl w:val="0"/>
      <w:suppressAutoHyphens/>
      <w:spacing w:line="252" w:lineRule="auto"/>
      <w:ind w:firstLine="720"/>
    </w:pPr>
    <w:rPr>
      <w:rFonts w:ascii="Times New Roman" w:hAnsi="Times New Roman" w:eastAsia="Times New Roman" w:cs="Times New Roman"/>
      <w:color w:val="00000A"/>
      <w:sz w:val="18"/>
      <w:szCs w:val="18"/>
      <w:lang w:val="ru-RU" w:eastAsia="ar-SA"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endnote reference"/>
    <w:basedOn w:val="2"/>
    <w:semiHidden/>
    <w:unhideWhenUsed/>
    <w:qFormat/>
    <w:uiPriority w:val="99"/>
    <w:rPr>
      <w:vertAlign w:val="superscript"/>
    </w:rPr>
  </w:style>
  <w:style w:type="character" w:styleId="6">
    <w:name w:val="Hyperlink"/>
    <w:qFormat/>
    <w:uiPriority w:val="0"/>
    <w:rPr>
      <w:color w:val="0000FF"/>
      <w:u w:val="single"/>
    </w:rPr>
  </w:style>
  <w:style w:type="paragraph" w:styleId="7">
    <w:name w:val="Balloon Text"/>
    <w:basedOn w:val="1"/>
    <w:link w:val="37"/>
    <w:semiHidden/>
    <w:unhideWhenUsed/>
    <w:qFormat/>
    <w:uiPriority w:val="99"/>
    <w:pPr>
      <w:spacing w:line="240" w:lineRule="auto"/>
    </w:pPr>
    <w:rPr>
      <w:rFonts w:ascii="Tahoma" w:hAnsi="Tahoma" w:cs="Tahoma"/>
      <w:sz w:val="16"/>
      <w:szCs w:val="16"/>
    </w:rPr>
  </w:style>
  <w:style w:type="paragraph" w:styleId="8">
    <w:name w:val="endnote text"/>
    <w:basedOn w:val="1"/>
    <w:link w:val="49"/>
    <w:semiHidden/>
    <w:unhideWhenUsed/>
    <w:qFormat/>
    <w:uiPriority w:val="99"/>
    <w:pPr>
      <w:spacing w:line="240" w:lineRule="auto"/>
    </w:pPr>
    <w:rPr>
      <w:sz w:val="20"/>
      <w:szCs w:val="20"/>
    </w:rPr>
  </w:style>
  <w:style w:type="paragraph" w:styleId="9">
    <w:name w:val="caption"/>
    <w:basedOn w:val="1"/>
    <w:next w:val="1"/>
    <w:qFormat/>
    <w:uiPriority w:val="0"/>
    <w:pPr>
      <w:widowControl/>
      <w:suppressAutoHyphens w:val="0"/>
      <w:spacing w:before="120" w:after="120" w:line="240" w:lineRule="auto"/>
      <w:ind w:firstLine="482"/>
      <w:jc w:val="both"/>
    </w:pPr>
    <w:rPr>
      <w:b/>
      <w:bCs/>
      <w:color w:val="4F81BD"/>
      <w:lang w:eastAsia="ru-RU"/>
    </w:rPr>
  </w:style>
  <w:style w:type="paragraph" w:styleId="10">
    <w:name w:val="annotation text"/>
    <w:basedOn w:val="1"/>
    <w:link w:val="36"/>
    <w:semiHidden/>
    <w:unhideWhenUsed/>
    <w:qFormat/>
    <w:uiPriority w:val="99"/>
    <w:pPr>
      <w:spacing w:line="240" w:lineRule="auto"/>
    </w:pPr>
    <w:rPr>
      <w:sz w:val="20"/>
      <w:szCs w:val="20"/>
    </w:rPr>
  </w:style>
  <w:style w:type="paragraph" w:styleId="11">
    <w:name w:val="header"/>
    <w:basedOn w:val="1"/>
    <w:link w:val="44"/>
    <w:unhideWhenUsed/>
    <w:qFormat/>
    <w:uiPriority w:val="99"/>
    <w:pPr>
      <w:tabs>
        <w:tab w:val="center" w:pos="4677"/>
        <w:tab w:val="right" w:pos="9355"/>
      </w:tabs>
      <w:spacing w:line="240" w:lineRule="auto"/>
    </w:pPr>
  </w:style>
  <w:style w:type="paragraph" w:styleId="12">
    <w:name w:val="Body Text"/>
    <w:basedOn w:val="1"/>
    <w:qFormat/>
    <w:uiPriority w:val="0"/>
    <w:pPr>
      <w:spacing w:before="80" w:line="240" w:lineRule="auto"/>
      <w:ind w:firstLine="0"/>
      <w:jc w:val="both"/>
    </w:pPr>
  </w:style>
  <w:style w:type="paragraph" w:styleId="13">
    <w:name w:val="index heading"/>
    <w:basedOn w:val="1"/>
    <w:uiPriority w:val="0"/>
    <w:pPr>
      <w:suppressLineNumbers/>
    </w:pPr>
    <w:rPr>
      <w:rFonts w:cs="Mangal"/>
    </w:rPr>
  </w:style>
  <w:style w:type="paragraph" w:styleId="14">
    <w:name w:val="Body Text Indent"/>
    <w:basedOn w:val="1"/>
    <w:qFormat/>
    <w:uiPriority w:val="0"/>
    <w:pPr>
      <w:spacing w:after="120"/>
      <w:ind w:left="283"/>
    </w:pPr>
  </w:style>
  <w:style w:type="paragraph" w:styleId="15">
    <w:name w:val="Title"/>
    <w:basedOn w:val="1"/>
    <w:qFormat/>
    <w:uiPriority w:val="0"/>
    <w:pPr>
      <w:suppressLineNumbers/>
      <w:spacing w:before="120" w:after="120"/>
    </w:pPr>
    <w:rPr>
      <w:rFonts w:cs="Mangal"/>
      <w:i/>
      <w:iCs/>
      <w:sz w:val="24"/>
      <w:szCs w:val="24"/>
    </w:rPr>
  </w:style>
  <w:style w:type="paragraph" w:styleId="16">
    <w:name w:val="footer"/>
    <w:basedOn w:val="1"/>
    <w:link w:val="45"/>
    <w:qFormat/>
    <w:uiPriority w:val="99"/>
  </w:style>
  <w:style w:type="paragraph" w:styleId="17">
    <w:name w:val="List"/>
    <w:basedOn w:val="12"/>
    <w:qFormat/>
    <w:uiPriority w:val="0"/>
    <w:rPr>
      <w:rFonts w:cs="Mangal"/>
    </w:rPr>
  </w:style>
  <w:style w:type="paragraph" w:styleId="18">
    <w:name w:val="Subtitle"/>
    <w:basedOn w:val="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19">
    <w:name w:val="Table Grid"/>
    <w:basedOn w:val="3"/>
    <w:unhideWhenUsed/>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Интернет-ссылка"/>
    <w:qFormat/>
    <w:uiPriority w:val="0"/>
    <w:rPr>
      <w:color w:val="0000FF"/>
      <w:u w:val="single"/>
    </w:rPr>
  </w:style>
  <w:style w:type="character" w:customStyle="1" w:styleId="21">
    <w:name w:val="Основной текст Знак"/>
    <w:basedOn w:val="2"/>
    <w:qFormat/>
    <w:uiPriority w:val="0"/>
    <w:rPr>
      <w:rFonts w:ascii="Times New Roman" w:hAnsi="Times New Roman" w:eastAsia="Times New Roman" w:cs="Times New Roman"/>
      <w:sz w:val="18"/>
      <w:szCs w:val="18"/>
      <w:lang w:eastAsia="ar-SA"/>
    </w:rPr>
  </w:style>
  <w:style w:type="character" w:customStyle="1" w:styleId="22">
    <w:name w:val="Название Знак"/>
    <w:basedOn w:val="2"/>
    <w:qFormat/>
    <w:uiPriority w:val="0"/>
    <w:rPr>
      <w:rFonts w:ascii="Times New Roman" w:hAnsi="Times New Roman" w:eastAsia="Times New Roman" w:cs="Times New Roman"/>
      <w:b/>
      <w:sz w:val="28"/>
      <w:szCs w:val="20"/>
      <w:lang w:eastAsia="ar-SA"/>
    </w:rPr>
  </w:style>
  <w:style w:type="character" w:customStyle="1" w:styleId="23">
    <w:name w:val="Основной текст с отступом Знак"/>
    <w:basedOn w:val="2"/>
    <w:qFormat/>
    <w:uiPriority w:val="0"/>
    <w:rPr>
      <w:rFonts w:ascii="Times New Roman" w:hAnsi="Times New Roman" w:eastAsia="Times New Roman" w:cs="Times New Roman"/>
      <w:sz w:val="18"/>
      <w:szCs w:val="18"/>
      <w:lang w:eastAsia="ar-SA"/>
    </w:rPr>
  </w:style>
  <w:style w:type="character" w:customStyle="1" w:styleId="24">
    <w:name w:val="Подзаголовок Знак"/>
    <w:basedOn w:val="2"/>
    <w:uiPriority w:val="11"/>
    <w:rPr>
      <w:rFonts w:asciiTheme="majorHAnsi" w:hAnsiTheme="majorHAnsi" w:eastAsiaTheme="majorEastAsia" w:cstheme="majorBidi"/>
      <w:i/>
      <w:iCs/>
      <w:color w:val="4F81BD" w:themeColor="accent1"/>
      <w:spacing w:val="15"/>
      <w:sz w:val="24"/>
      <w:szCs w:val="24"/>
      <w:lang w:eastAsia="ar-SA"/>
      <w14:textFill>
        <w14:solidFill>
          <w14:schemeClr w14:val="accent1"/>
        </w14:solidFill>
      </w14:textFill>
    </w:rPr>
  </w:style>
  <w:style w:type="character" w:customStyle="1" w:styleId="25">
    <w:name w:val="ListLabel 1"/>
    <w:qFormat/>
    <w:uiPriority w:val="0"/>
    <w:rPr>
      <w:rFonts w:cs="Symbol"/>
    </w:rPr>
  </w:style>
  <w:style w:type="character" w:customStyle="1" w:styleId="26">
    <w:name w:val="Font Style26"/>
    <w:qFormat/>
    <w:uiPriority w:val="0"/>
    <w:rPr>
      <w:rFonts w:ascii="Times New Roman" w:hAnsi="Times New Roman" w:cs="Times New Roman"/>
      <w:b/>
      <w:bCs/>
      <w:sz w:val="22"/>
      <w:szCs w:val="22"/>
    </w:rPr>
  </w:style>
  <w:style w:type="character" w:customStyle="1" w:styleId="27">
    <w:name w:val="Font Style25"/>
    <w:qFormat/>
    <w:uiPriority w:val="0"/>
    <w:rPr>
      <w:rFonts w:ascii="Times New Roman" w:hAnsi="Times New Roman" w:cs="Times New Roman"/>
      <w:sz w:val="22"/>
      <w:szCs w:val="22"/>
    </w:rPr>
  </w:style>
  <w:style w:type="character" w:customStyle="1" w:styleId="28">
    <w:name w:val="ListLabel 2"/>
    <w:qFormat/>
    <w:uiPriority w:val="0"/>
    <w:rPr>
      <w:rFonts w:cs="Symbol"/>
    </w:rPr>
  </w:style>
  <w:style w:type="character" w:customStyle="1" w:styleId="29">
    <w:name w:val="ListLabel 3"/>
    <w:qFormat/>
    <w:uiPriority w:val="0"/>
    <w:rPr>
      <w:rFonts w:cs="Symbol"/>
    </w:rPr>
  </w:style>
  <w:style w:type="paragraph" w:customStyle="1" w:styleId="30">
    <w:name w:val="Заголовок1"/>
    <w:basedOn w:val="1"/>
    <w:next w:val="12"/>
    <w:qFormat/>
    <w:uiPriority w:val="0"/>
    <w:pPr>
      <w:keepNext/>
      <w:spacing w:before="240" w:after="120"/>
    </w:pPr>
    <w:rPr>
      <w:rFonts w:ascii="Liberation Sans" w:hAnsi="Liberation Sans" w:eastAsia="Microsoft YaHei" w:cs="Mangal"/>
      <w:sz w:val="28"/>
      <w:szCs w:val="28"/>
    </w:rPr>
  </w:style>
  <w:style w:type="paragraph" w:customStyle="1" w:styleId="31">
    <w:name w:val="Основной текст с отступом 21"/>
    <w:basedOn w:val="1"/>
    <w:uiPriority w:val="0"/>
    <w:pPr>
      <w:spacing w:after="120" w:line="480" w:lineRule="auto"/>
      <w:ind w:left="283"/>
    </w:pPr>
  </w:style>
  <w:style w:type="paragraph" w:customStyle="1" w:styleId="32">
    <w:name w:val="Заглавие"/>
    <w:basedOn w:val="1"/>
    <w:qFormat/>
    <w:uiPriority w:val="0"/>
    <w:pPr>
      <w:widowControl/>
      <w:spacing w:line="240" w:lineRule="auto"/>
      <w:ind w:firstLine="0"/>
      <w:jc w:val="center"/>
    </w:pPr>
    <w:rPr>
      <w:b/>
      <w:sz w:val="28"/>
      <w:szCs w:val="20"/>
    </w:rPr>
  </w:style>
  <w:style w:type="paragraph" w:customStyle="1" w:styleId="33">
    <w:name w:val="Основной текст 31"/>
    <w:basedOn w:val="1"/>
    <w:qFormat/>
    <w:uiPriority w:val="0"/>
    <w:pPr>
      <w:spacing w:after="120"/>
    </w:pPr>
    <w:rPr>
      <w:sz w:val="16"/>
      <w:szCs w:val="16"/>
    </w:rPr>
  </w:style>
  <w:style w:type="paragraph" w:customStyle="1" w:styleId="34">
    <w:name w:val="ConsPlusNormal"/>
    <w:qFormat/>
    <w:uiPriority w:val="0"/>
    <w:pPr>
      <w:widowControl w:val="0"/>
      <w:suppressAutoHyphens/>
      <w:overflowPunct w:val="0"/>
      <w:spacing w:line="240" w:lineRule="auto"/>
      <w:ind w:firstLine="720"/>
    </w:pPr>
    <w:rPr>
      <w:rFonts w:ascii="Arial" w:hAnsi="Arial" w:eastAsia="Times New Roman" w:cs="Arial"/>
      <w:color w:val="00000A"/>
      <w:sz w:val="18"/>
      <w:szCs w:val="20"/>
      <w:lang w:val="ru-RU" w:eastAsia="ru-RU" w:bidi="ar-SA"/>
    </w:rPr>
  </w:style>
  <w:style w:type="paragraph" w:customStyle="1" w:styleId="35">
    <w:name w:val="Содержимое таблицы"/>
    <w:basedOn w:val="1"/>
    <w:qFormat/>
    <w:uiPriority w:val="0"/>
    <w:pPr>
      <w:suppressLineNumbers/>
    </w:pPr>
  </w:style>
  <w:style w:type="character" w:customStyle="1" w:styleId="36">
    <w:name w:val="Текст примечания Знак"/>
    <w:basedOn w:val="2"/>
    <w:link w:val="10"/>
    <w:semiHidden/>
    <w:qFormat/>
    <w:uiPriority w:val="99"/>
    <w:rPr>
      <w:rFonts w:ascii="Times New Roman" w:hAnsi="Times New Roman" w:eastAsia="Times New Roman" w:cs="Times New Roman"/>
      <w:color w:val="00000A"/>
      <w:szCs w:val="20"/>
      <w:lang w:eastAsia="ar-SA"/>
    </w:rPr>
  </w:style>
  <w:style w:type="character" w:customStyle="1" w:styleId="37">
    <w:name w:val="Текст выноски Знак"/>
    <w:basedOn w:val="2"/>
    <w:link w:val="7"/>
    <w:semiHidden/>
    <w:qFormat/>
    <w:uiPriority w:val="99"/>
    <w:rPr>
      <w:rFonts w:ascii="Tahoma" w:hAnsi="Tahoma" w:eastAsia="Times New Roman" w:cs="Tahoma"/>
      <w:color w:val="00000A"/>
      <w:sz w:val="16"/>
      <w:szCs w:val="16"/>
      <w:lang w:eastAsia="ar-SA"/>
    </w:rPr>
  </w:style>
  <w:style w:type="paragraph" w:customStyle="1" w:styleId="38">
    <w:name w:val="Normal unindented"/>
    <w:qFormat/>
    <w:uiPriority w:val="0"/>
    <w:pPr>
      <w:spacing w:before="120" w:after="120" w:line="276" w:lineRule="auto"/>
      <w:jc w:val="both"/>
    </w:pPr>
    <w:rPr>
      <w:rFonts w:ascii="Times New Roman" w:hAnsi="Times New Roman" w:eastAsia="Times New Roman" w:cs="Times New Roman"/>
      <w:sz w:val="22"/>
      <w:szCs w:val="22"/>
      <w:lang w:val="ru-RU" w:eastAsia="ru-RU" w:bidi="ar-SA"/>
    </w:rPr>
  </w:style>
  <w:style w:type="paragraph" w:customStyle="1" w:styleId="39">
    <w:name w:val="ConsPlusNonformat"/>
    <w:qFormat/>
    <w:uiPriority w:val="99"/>
    <w:pPr>
      <w:widowControl w:val="0"/>
      <w:autoSpaceDE w:val="0"/>
      <w:autoSpaceDN w:val="0"/>
      <w:adjustRightInd w:val="0"/>
      <w:spacing w:line="240" w:lineRule="auto"/>
    </w:pPr>
    <w:rPr>
      <w:rFonts w:ascii="Courier New" w:hAnsi="Courier New" w:eastAsia="Times New Roman" w:cs="Courier New"/>
      <w:szCs w:val="20"/>
      <w:lang w:val="ru-RU" w:eastAsia="ru-RU" w:bidi="ar-SA"/>
    </w:rPr>
  </w:style>
  <w:style w:type="paragraph" w:styleId="40">
    <w:name w:val="List Paragraph"/>
    <w:basedOn w:val="1"/>
    <w:qFormat/>
    <w:uiPriority w:val="99"/>
    <w:pPr>
      <w:ind w:left="720"/>
      <w:contextualSpacing/>
    </w:pPr>
  </w:style>
  <w:style w:type="paragraph" w:customStyle="1" w:styleId="41">
    <w:name w:val="Обычный.Ii?iaeuiue"/>
    <w:qFormat/>
    <w:uiPriority w:val="0"/>
    <w:pPr>
      <w:autoSpaceDE w:val="0"/>
      <w:autoSpaceDN w:val="0"/>
      <w:spacing w:line="240" w:lineRule="auto"/>
    </w:pPr>
    <w:rPr>
      <w:rFonts w:ascii="Times New Roman" w:hAnsi="Times New Roman" w:eastAsia="Times New Roman" w:cs="Times New Roman"/>
      <w:szCs w:val="20"/>
      <w:lang w:val="ru-RU" w:eastAsia="ru-RU" w:bidi="ar-SA"/>
    </w:rPr>
  </w:style>
  <w:style w:type="paragraph" w:customStyle="1" w:styleId="42">
    <w:name w:val="x_default"/>
    <w:basedOn w:val="1"/>
    <w:qFormat/>
    <w:uiPriority w:val="0"/>
    <w:pPr>
      <w:widowControl/>
      <w:suppressAutoHyphens w:val="0"/>
      <w:spacing w:before="100" w:beforeAutospacing="1" w:after="100" w:afterAutospacing="1" w:line="240" w:lineRule="auto"/>
      <w:ind w:firstLine="0"/>
    </w:pPr>
    <w:rPr>
      <w:color w:val="auto"/>
      <w:sz w:val="24"/>
      <w:szCs w:val="24"/>
      <w:lang w:eastAsia="ru-RU"/>
    </w:rPr>
  </w:style>
  <w:style w:type="paragraph" w:customStyle="1" w:styleId="43">
    <w:name w:val="x_msonormal"/>
    <w:basedOn w:val="1"/>
    <w:qFormat/>
    <w:uiPriority w:val="0"/>
    <w:pPr>
      <w:widowControl/>
      <w:suppressAutoHyphens w:val="0"/>
      <w:spacing w:before="100" w:beforeAutospacing="1" w:after="100" w:afterAutospacing="1" w:line="240" w:lineRule="auto"/>
      <w:ind w:firstLine="0"/>
    </w:pPr>
    <w:rPr>
      <w:color w:val="auto"/>
      <w:sz w:val="24"/>
      <w:szCs w:val="24"/>
      <w:lang w:eastAsia="ru-RU"/>
    </w:rPr>
  </w:style>
  <w:style w:type="character" w:customStyle="1" w:styleId="44">
    <w:name w:val="Верхний колонтитул Знак"/>
    <w:basedOn w:val="2"/>
    <w:link w:val="11"/>
    <w:qFormat/>
    <w:uiPriority w:val="99"/>
    <w:rPr>
      <w:rFonts w:ascii="Times New Roman" w:hAnsi="Times New Roman" w:eastAsia="Times New Roman" w:cs="Times New Roman"/>
      <w:color w:val="00000A"/>
      <w:sz w:val="18"/>
      <w:szCs w:val="18"/>
      <w:lang w:eastAsia="ar-SA"/>
    </w:rPr>
  </w:style>
  <w:style w:type="character" w:customStyle="1" w:styleId="45">
    <w:name w:val="Нижний колонтитул Знак"/>
    <w:basedOn w:val="2"/>
    <w:link w:val="16"/>
    <w:qFormat/>
    <w:uiPriority w:val="99"/>
    <w:rPr>
      <w:rFonts w:ascii="Times New Roman" w:hAnsi="Times New Roman" w:eastAsia="Times New Roman" w:cs="Times New Roman"/>
      <w:color w:val="00000A"/>
      <w:sz w:val="18"/>
      <w:szCs w:val="18"/>
      <w:lang w:eastAsia="ar-SA"/>
    </w:rPr>
  </w:style>
  <w:style w:type="character" w:customStyle="1" w:styleId="46">
    <w:name w:val="markedcontent"/>
    <w:qFormat/>
    <w:uiPriority w:val="0"/>
  </w:style>
  <w:style w:type="paragraph" w:styleId="47">
    <w:name w:val="No Spacing"/>
    <w:qFormat/>
    <w:uiPriority w:val="1"/>
    <w:pPr>
      <w:spacing w:line="240" w:lineRule="auto"/>
    </w:pPr>
    <w:rPr>
      <w:rFonts w:ascii="Calibri" w:hAnsi="Calibri" w:eastAsia="Calibri" w:cs="Times New Roman"/>
      <w:sz w:val="22"/>
      <w:szCs w:val="22"/>
      <w:lang w:val="ru-RU" w:eastAsia="en-US" w:bidi="ar-SA"/>
    </w:rPr>
  </w:style>
  <w:style w:type="character" w:customStyle="1" w:styleId="48">
    <w:name w:val="Неразрешенное упоминание1"/>
    <w:basedOn w:val="2"/>
    <w:semiHidden/>
    <w:unhideWhenUsed/>
    <w:uiPriority w:val="99"/>
    <w:rPr>
      <w:color w:val="605E5C"/>
      <w:shd w:val="clear" w:color="auto" w:fill="E1DFDD"/>
    </w:rPr>
  </w:style>
  <w:style w:type="character" w:customStyle="1" w:styleId="49">
    <w:name w:val="Текст концевой сноски Знак"/>
    <w:basedOn w:val="2"/>
    <w:link w:val="8"/>
    <w:semiHidden/>
    <w:qFormat/>
    <w:uiPriority w:val="99"/>
    <w:rPr>
      <w:rFonts w:ascii="Times New Roman" w:hAnsi="Times New Roman" w:eastAsia="Times New Roman" w:cs="Times New Roman"/>
      <w:color w:val="00000A"/>
      <w:szCs w:val="20"/>
      <w:lang w:eastAsia="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33FFB-CE2E-4BB6-A382-DAE664C96756}">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10</Pages>
  <Words>7113</Words>
  <Characters>40546</Characters>
  <Lines>337</Lines>
  <Paragraphs>95</Paragraphs>
  <TotalTime>2</TotalTime>
  <ScaleCrop>false</ScaleCrop>
  <LinksUpToDate>false</LinksUpToDate>
  <CharactersWithSpaces>47564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2026-02-26T09:19:00Z</dcterms:created>
  <dc:creator>Орехова Ольга Юрьевна</dc:creator>
  <cp:lastModifiedBy>User</cp:lastModifiedBy>
  <cp:lastPrinted>2023-12-18T07:46:00Z</cp:lastPrinted>
  <dcterms:modified xsi:type="dcterms:W3CDTF">2026-02-26T10:01:22Z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1F6E9FA7B3B9417591CBEFC543C4DA82_12</vt:lpwstr>
  </property>
</Properties>
</file>