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EE36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750740CA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324D87E9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477A9199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363B94E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03C8C001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44306D01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10D291B6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792CBE7E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4494DDA3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1E07856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21960D20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14824165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7F7889">
        <w:rPr>
          <w:rFonts w:ascii="Times New Roman" w:eastAsia="Calibri" w:hAnsi="Times New Roman" w:cs="Times New Roman"/>
          <w:b/>
          <w:szCs w:val="21"/>
          <w:lang w:eastAsia="en-US"/>
        </w:rPr>
        <w:t>4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0130AB" w:rsidRPr="000130AB">
        <w:rPr>
          <w:rFonts w:ascii="Times New Roman" w:eastAsia="Calibri" w:hAnsi="Times New Roman" w:cs="Times New Roman"/>
          <w:spacing w:val="7"/>
          <w:szCs w:val="21"/>
          <w:lang w:eastAsia="en-US"/>
        </w:rPr>
        <w:t>17406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0130AB" w:rsidRPr="000130AB">
        <w:rPr>
          <w:rFonts w:ascii="Times New Roman" w:eastAsia="Calibri" w:hAnsi="Times New Roman" w:cs="Times New Roman"/>
          <w:spacing w:val="7"/>
          <w:szCs w:val="21"/>
          <w:lang w:eastAsia="en-US"/>
        </w:rPr>
        <w:t>18440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0130AB">
        <w:rPr>
          <w:rFonts w:ascii="Times New Roman" w:eastAsia="Calibri" w:hAnsi="Times New Roman" w:cs="Times New Roman"/>
          <w:szCs w:val="21"/>
          <w:lang w:eastAsia="en-US"/>
        </w:rPr>
        <w:t>23-43-337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64137F14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5AFF15BB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0130AB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4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0130AB" w:rsidRPr="000130AB">
        <w:rPr>
          <w:rFonts w:ascii="Times New Roman" w:eastAsia="Times New Roman" w:hAnsi="Times New Roman" w:cs="Times New Roman"/>
          <w:bCs/>
          <w:szCs w:val="21"/>
        </w:rPr>
        <w:t>17406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0130AB" w:rsidRPr="000130AB">
        <w:rPr>
          <w:rFonts w:ascii="Times New Roman" w:eastAsia="Calibri" w:hAnsi="Times New Roman" w:cs="Times New Roman"/>
          <w:spacing w:val="7"/>
          <w:szCs w:val="21"/>
          <w:lang w:eastAsia="en-US"/>
        </w:rPr>
        <w:t>18440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06F17D41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95EE3AD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4851657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5AEB616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4A8C4FBF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03DC1FA4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2EB69478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D6A9AC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6DC0C6AA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7926A10" w14:textId="77777777"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0130AB" w:rsidRPr="000130AB">
        <w:rPr>
          <w:rFonts w:ascii="Times New Roman" w:eastAsia="Calibri" w:hAnsi="Times New Roman" w:cs="Times New Roman"/>
          <w:spacing w:val="7"/>
          <w:szCs w:val="21"/>
          <w:lang w:eastAsia="en-US"/>
        </w:rPr>
        <w:t>18440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0130AB" w:rsidRPr="000130AB">
        <w:rPr>
          <w:rFonts w:ascii="Times New Roman" w:eastAsia="Calibri" w:hAnsi="Times New Roman" w:cs="Times New Roman"/>
          <w:szCs w:val="21"/>
          <w:lang w:eastAsia="en-US"/>
        </w:rPr>
        <w:t>№ 08/02-ДКП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443315" w:rsidRPr="00443315">
        <w:rPr>
          <w:rFonts w:ascii="Times New Roman" w:eastAsia="Calibri" w:hAnsi="Times New Roman" w:cs="Times New Roman"/>
          <w:szCs w:val="21"/>
          <w:lang w:eastAsia="en-US"/>
        </w:rPr>
        <w:t>08.02.2022</w:t>
      </w:r>
      <w:r w:rsidR="00443315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443315" w:rsidRPr="00443315">
        <w:rPr>
          <w:rFonts w:ascii="Times New Roman" w:eastAsia="Calibri" w:hAnsi="Times New Roman" w:cs="Times New Roman"/>
          <w:szCs w:val="21"/>
          <w:lang w:eastAsia="en-US"/>
        </w:rPr>
        <w:t>08.06.2023</w:t>
      </w:r>
      <w:r w:rsidR="00443315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443315" w:rsidRPr="00443315">
        <w:rPr>
          <w:rFonts w:ascii="Times New Roman" w:eastAsia="Calibri" w:hAnsi="Times New Roman" w:cs="Times New Roman"/>
          <w:szCs w:val="21"/>
          <w:lang w:eastAsia="en-US"/>
        </w:rPr>
        <w:t>23:43:0118001:18440-23/226/2023-1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6FB967E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443315">
        <w:rPr>
          <w:rFonts w:ascii="Times New Roman" w:eastAsia="Times New Roman" w:hAnsi="Times New Roman" w:cs="Times New Roman"/>
          <w:szCs w:val="21"/>
        </w:rPr>
        <w:t>37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5CC93FD4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2FA2A2F9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0D530712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543047F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37105680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08D34897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74E4D7E0" w14:textId="77777777">
        <w:trPr>
          <w:jc w:val="center"/>
        </w:trPr>
        <w:tc>
          <w:tcPr>
            <w:tcW w:w="426" w:type="dxa"/>
          </w:tcPr>
          <w:p w14:paraId="2C948566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58CE6AE7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01E7F963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3B56F9CC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2B9CEBF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7D3D3260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2FC28789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54D65395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3D51598A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06306F26" w14:textId="77777777">
        <w:trPr>
          <w:jc w:val="center"/>
        </w:trPr>
        <w:tc>
          <w:tcPr>
            <w:tcW w:w="426" w:type="dxa"/>
          </w:tcPr>
          <w:p w14:paraId="0A3A96ED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04BCC0F7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843866A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18883A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D303E4A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D290C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F09BBE0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3794B15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F421BC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0B24ADB8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19292611" w14:textId="77777777" w:rsidR="00F13105" w:rsidRPr="00D45C94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443315">
        <w:rPr>
          <w:rFonts w:ascii="Times New Roman" w:eastAsia="Calibri" w:hAnsi="Times New Roman" w:cs="Times New Roman"/>
          <w:szCs w:val="21"/>
          <w:lang w:eastAsia="en-US"/>
        </w:rPr>
        <w:t>23-43-337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443315">
        <w:rPr>
          <w:rFonts w:ascii="Times New Roman" w:eastAsia="Calibri" w:hAnsi="Times New Roman" w:cs="Times New Roman"/>
          <w:szCs w:val="21"/>
          <w:lang w:eastAsia="en-US"/>
        </w:rPr>
        <w:t>20.09.2028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290D34">
        <w:rPr>
          <w:rFonts w:ascii="Times New Roman" w:eastAsia="Calibri" w:hAnsi="Times New Roman" w:cs="Times New Roman"/>
          <w:szCs w:val="21"/>
          <w:lang w:eastAsia="en-US"/>
        </w:rPr>
        <w:t xml:space="preserve">2-й квартал </w:t>
      </w:r>
      <w:r w:rsidR="00EB2D47" w:rsidRPr="00D45C94">
        <w:rPr>
          <w:rFonts w:ascii="Times New Roman" w:eastAsia="Calibri" w:hAnsi="Times New Roman" w:cs="Times New Roman"/>
          <w:szCs w:val="21"/>
          <w:lang w:eastAsia="en-US"/>
        </w:rPr>
        <w:t>2027</w:t>
      </w:r>
      <w:r w:rsidRPr="00D45C94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14:paraId="5AA612D2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02CE86B" w14:textId="77777777" w:rsidR="00F13105" w:rsidRPr="009840CF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443315" w:rsidRPr="009840CF">
        <w:rPr>
          <w:color w:val="000000" w:themeColor="text1"/>
        </w:rPr>
        <w:t>520B00VFBMF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от </w:t>
      </w:r>
      <w:r w:rsidR="00EB2D47"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11.04.2024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 заключенному между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45DD1A73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443315" w:rsidRPr="00443315">
        <w:rPr>
          <w:rFonts w:ascii="Times New Roman" w:eastAsia="Calibri" w:hAnsi="Times New Roman" w:cs="Times New Roman"/>
          <w:spacing w:val="7"/>
          <w:szCs w:val="21"/>
          <w:lang w:eastAsia="en-US"/>
        </w:rPr>
        <w:t>18440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</w:t>
      </w:r>
      <w:r w:rsidR="00443315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25C02">
        <w:rPr>
          <w:rFonts w:ascii="Times New Roman" w:eastAsia="Calibri" w:hAnsi="Times New Roman" w:cs="Times New Roman"/>
          <w:szCs w:val="21"/>
          <w:lang w:eastAsia="en-US"/>
        </w:rPr>
        <w:t>ДИ1_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520B00VF</w:t>
      </w:r>
      <w:r w:rsidR="00443315">
        <w:rPr>
          <w:rFonts w:ascii="Times New Roman" w:eastAsia="Calibri" w:hAnsi="Times New Roman" w:cs="Times New Roman"/>
          <w:szCs w:val="21"/>
          <w:lang w:val="en-US" w:eastAsia="en-US"/>
        </w:rPr>
        <w:t>B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MF от 11.04.2024 г</w:t>
      </w:r>
      <w:r w:rsidR="0082479E">
        <w:rPr>
          <w:rFonts w:ascii="Times New Roman" w:eastAsia="Calibri" w:hAnsi="Times New Roman" w:cs="Times New Roman"/>
          <w:szCs w:val="21"/>
          <w:lang w:eastAsia="en-US"/>
        </w:rPr>
        <w:t xml:space="preserve">ода и по </w:t>
      </w:r>
      <w:r w:rsidR="0082479E" w:rsidRPr="0082479E">
        <w:rPr>
          <w:rFonts w:ascii="Times New Roman" w:eastAsia="Calibri" w:hAnsi="Times New Roman" w:cs="Times New Roman"/>
          <w:szCs w:val="21"/>
          <w:lang w:eastAsia="en-US"/>
        </w:rPr>
        <w:t>договору ипотеки № Д</w:t>
      </w:r>
      <w:r w:rsidR="0082479E">
        <w:rPr>
          <w:rFonts w:ascii="Times New Roman" w:eastAsia="Calibri" w:hAnsi="Times New Roman" w:cs="Times New Roman"/>
          <w:szCs w:val="21"/>
          <w:lang w:eastAsia="en-US"/>
        </w:rPr>
        <w:t>И3_520B00NG8 от 11.10.2023 года</w:t>
      </w:r>
      <w:r w:rsidR="00EB2D47" w:rsidRPr="0082479E">
        <w:rPr>
          <w:rFonts w:ascii="Times New Roman" w:eastAsia="Calibri" w:hAnsi="Times New Roman" w:cs="Times New Roman"/>
          <w:szCs w:val="21"/>
          <w:lang w:eastAsia="en-US"/>
        </w:rPr>
        <w:t>,</w:t>
      </w:r>
      <w:r w:rsidR="0082479E">
        <w:rPr>
          <w:rFonts w:ascii="Times New Roman" w:eastAsia="Calibri" w:hAnsi="Times New Roman" w:cs="Times New Roman"/>
          <w:szCs w:val="21"/>
          <w:lang w:eastAsia="en-US"/>
        </w:rPr>
        <w:t xml:space="preserve"> заключенным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14:paraId="4E4C95DA" w14:textId="77777777"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B1DB17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6D2F4527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497CD849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558250BE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03607C44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278BFE1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40A08E5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6A8106A7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72E9223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74D260E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45DBB44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189F596A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343600A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16C351D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5E27A32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31AA3D1F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6AF7AC12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3A911843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6B5CA791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5C954EB9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66FA0285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203F9710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4293061F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1D5EADC7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543D6EF4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53D6614E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625FBEEE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0E2CA940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6265A83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70F3D12C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54AC7AD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77F1A607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C7B5A86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734C8372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595B922A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290348E0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E0F7743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325F46E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0C2F74E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3A517EB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3F933CDB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0E927707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3ECF660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4B48881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2CE5AF94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028D9E21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0DF817E8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01B9D071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507E292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12FDE6E3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318F468B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091FF30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5BF7B338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8A362EE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3F171A67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745CC85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267FAE0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20283292" w14:textId="77777777" w:rsidR="00B62806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B6280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B62806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B6280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B62806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B6280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3EDC273F" w14:textId="02FF889A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1EDA610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3AC9D5F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6C212416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4E72604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4E40FB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C3B680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5E127CC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649CCE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5845FE3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1035CD49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7B112C6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5CE259AA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7296C990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125C02" w:rsidRPr="00125C02">
        <w:rPr>
          <w:rFonts w:ascii="Times New Roman" w:eastAsia="Calibri" w:hAnsi="Times New Roman" w:cs="Times New Roman"/>
          <w:i/>
          <w:szCs w:val="21"/>
          <w:lang w:eastAsia="en-US"/>
        </w:rPr>
        <w:t>18440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14:paraId="1DBF8E5A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58C4E20B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1420A78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3C880B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7E0005E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61EEC1E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F90F503" w14:textId="146D9CED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B62806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B6280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B62806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B6280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B62806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B6280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B62806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17143BE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E49B44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lastRenderedPageBreak/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6C96C31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6EC7306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6A97F026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61E4C5D5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20866907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F77F38E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17C7696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58234D9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5D64640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14:paraId="6F5E805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176F5A7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25EF13B3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5FD38CE5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51D12959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602C14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16156C15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EE01B9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0690933C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736D0A8F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393AFEC5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274C97E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406CEFBB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2E35BF36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5EF55222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45CC230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75926B20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0D24939A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4F3F40DA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48A7D718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69F37CC6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3D069597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0A59DA5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C9D89F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32C2F6CA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7C827B5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34C2E89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34629C7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4618408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B6FDAE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7D2D865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5686A65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06A769F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5F99CC5A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417070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2B83471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64A0A8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4181BA9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28E0613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42FE487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302E834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036FEFC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784F423E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13AD3C4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77ED9401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7053D702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5B6C5040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654F9013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857072A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DBA9D10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5B06778F" w14:textId="77777777">
        <w:trPr>
          <w:trHeight w:val="434"/>
        </w:trPr>
        <w:tc>
          <w:tcPr>
            <w:tcW w:w="4777" w:type="dxa"/>
          </w:tcPr>
          <w:p w14:paraId="7B286199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7353546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2F49A0A9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36A5524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7F515FCD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6FD533A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612B9B5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60F3DE7A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06AAE82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65990758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3ABB9961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49F7F2FB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483171BB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2BE4F803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0A0B6635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725CADEE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4636F570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688989E1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7F7B77D8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3EB18404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3B2272AF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33966643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2BDDE525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7AAC76E2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559B004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1CC2634B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86805EA" w14:textId="77777777" w:rsidR="00C629DA" w:rsidRPr="003F35B0" w:rsidRDefault="00C629DA" w:rsidP="00B6280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9B7E1C2" w14:textId="77777777" w:rsidR="00C629DA" w:rsidRPr="003F35B0" w:rsidRDefault="00C629DA" w:rsidP="00B62806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1E5CC411" w14:textId="77777777" w:rsidR="00C629DA" w:rsidRPr="003F35B0" w:rsidRDefault="00C629DA" w:rsidP="00B62806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7DA8BED" w14:textId="77777777" w:rsidR="00C629DA" w:rsidRPr="003F35B0" w:rsidRDefault="00C629DA" w:rsidP="00B62806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572AA92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22257E9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1376584D" w14:textId="77777777" w:rsidR="00FC2E8D" w:rsidRPr="00D90E53" w:rsidRDefault="00FC2E8D">
      <w:pPr>
        <w:ind w:firstLine="570"/>
      </w:pPr>
    </w:p>
    <w:p w14:paraId="3E263599" w14:textId="77777777" w:rsidR="00FC2E8D" w:rsidRPr="00D90E53" w:rsidRDefault="00FC2E8D">
      <w:pPr>
        <w:ind w:firstLine="570"/>
      </w:pPr>
    </w:p>
    <w:p w14:paraId="5AE30E30" w14:textId="77777777" w:rsidR="00FC2E8D" w:rsidRPr="00D90E53" w:rsidRDefault="00FC2E8D">
      <w:pPr>
        <w:ind w:firstLine="570"/>
      </w:pPr>
    </w:p>
    <w:p w14:paraId="53A43EF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5F0FBF40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A28E55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DF26A49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27E430C9" w14:textId="77777777" w:rsidR="00FC2E8D" w:rsidRPr="00D90E53" w:rsidRDefault="00FC2E8D">
      <w:pPr>
        <w:ind w:firstLine="570"/>
      </w:pPr>
    </w:p>
    <w:p w14:paraId="783066AF" w14:textId="77777777" w:rsidR="00FC2E8D" w:rsidRPr="00D90E53" w:rsidRDefault="00FC2E8D">
      <w:pPr>
        <w:ind w:firstLine="570"/>
      </w:pPr>
    </w:p>
    <w:p w14:paraId="73E03557" w14:textId="77777777" w:rsidR="00FC2E8D" w:rsidRPr="00D90E53" w:rsidRDefault="00FC2E8D">
      <w:pPr>
        <w:ind w:firstLine="570"/>
      </w:pPr>
    </w:p>
    <w:p w14:paraId="7B6B4EDA" w14:textId="77777777" w:rsidR="00FC2E8D" w:rsidRPr="00D90E53" w:rsidRDefault="00FC2E8D">
      <w:pPr>
        <w:ind w:firstLine="570"/>
      </w:pPr>
    </w:p>
    <w:p w14:paraId="5EBCF1F6" w14:textId="77777777" w:rsidR="00FC2E8D" w:rsidRPr="00D90E53" w:rsidRDefault="00FC2E8D">
      <w:pPr>
        <w:ind w:firstLine="570"/>
      </w:pPr>
    </w:p>
    <w:p w14:paraId="119B5272" w14:textId="77777777" w:rsidR="00FC2E8D" w:rsidRPr="00D90E53" w:rsidRDefault="00FC2E8D">
      <w:pPr>
        <w:ind w:firstLine="570"/>
      </w:pPr>
    </w:p>
    <w:p w14:paraId="0EB69E5B" w14:textId="77777777" w:rsidR="00FC2E8D" w:rsidRPr="00D90E53" w:rsidRDefault="00FC2E8D">
      <w:pPr>
        <w:ind w:firstLine="570"/>
      </w:pPr>
    </w:p>
    <w:p w14:paraId="0EE5D2B7" w14:textId="77777777" w:rsidR="00D90E53" w:rsidRPr="00D90E53" w:rsidRDefault="00D90E53" w:rsidP="00D90E53">
      <w:pPr>
        <w:ind w:firstLine="0"/>
      </w:pPr>
    </w:p>
    <w:bookmarkEnd w:id="5"/>
    <w:p w14:paraId="21D17F2A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7D082913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D1CAE4C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10575EC5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2DB7826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89CEF5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7796DCE2" w14:textId="77777777" w:rsidR="00FC2E8D" w:rsidRPr="00D90E53" w:rsidRDefault="00FC2E8D">
      <w:pPr>
        <w:ind w:firstLine="15"/>
        <w:jc w:val="left"/>
      </w:pPr>
    </w:p>
    <w:p w14:paraId="71A4B9BE" w14:textId="77777777" w:rsidR="00FC2E8D" w:rsidRPr="00D90E53" w:rsidRDefault="00FC2E8D">
      <w:pPr>
        <w:ind w:firstLine="570"/>
        <w:jc w:val="left"/>
      </w:pPr>
    </w:p>
    <w:p w14:paraId="5776A0BD" w14:textId="77777777" w:rsidR="00FC2E8D" w:rsidRDefault="00FC2E8D">
      <w:pPr>
        <w:ind w:firstLine="570"/>
        <w:jc w:val="left"/>
      </w:pPr>
    </w:p>
    <w:p w14:paraId="7D015018" w14:textId="77777777" w:rsidR="009A3ED5" w:rsidRDefault="009A3ED5">
      <w:pPr>
        <w:ind w:firstLine="570"/>
        <w:jc w:val="left"/>
      </w:pPr>
    </w:p>
    <w:p w14:paraId="366A95F7" w14:textId="77777777" w:rsidR="009A3ED5" w:rsidRDefault="009A3ED5">
      <w:pPr>
        <w:ind w:firstLine="570"/>
        <w:jc w:val="left"/>
      </w:pPr>
    </w:p>
    <w:p w14:paraId="3207F847" w14:textId="77777777" w:rsidR="009A3ED5" w:rsidRDefault="009A3ED5">
      <w:pPr>
        <w:ind w:firstLine="570"/>
        <w:jc w:val="left"/>
      </w:pPr>
    </w:p>
    <w:p w14:paraId="76CC8392" w14:textId="77777777" w:rsidR="009A3ED5" w:rsidRDefault="009A3ED5">
      <w:pPr>
        <w:ind w:firstLine="570"/>
        <w:jc w:val="left"/>
      </w:pPr>
    </w:p>
    <w:p w14:paraId="1EE078B1" w14:textId="77777777" w:rsidR="009A3ED5" w:rsidRDefault="009A3ED5">
      <w:pPr>
        <w:ind w:firstLine="570"/>
        <w:jc w:val="left"/>
      </w:pPr>
    </w:p>
    <w:p w14:paraId="2482F37F" w14:textId="77777777" w:rsidR="009A3ED5" w:rsidRDefault="009A3ED5">
      <w:pPr>
        <w:ind w:firstLine="570"/>
        <w:jc w:val="left"/>
      </w:pPr>
    </w:p>
    <w:p w14:paraId="4EC416C5" w14:textId="77777777" w:rsidR="009A3ED5" w:rsidRDefault="009A3ED5">
      <w:pPr>
        <w:ind w:firstLine="570"/>
        <w:jc w:val="left"/>
      </w:pPr>
    </w:p>
    <w:p w14:paraId="53AA4FEB" w14:textId="77777777" w:rsidR="009A3ED5" w:rsidRDefault="009A3ED5">
      <w:pPr>
        <w:ind w:firstLine="570"/>
        <w:jc w:val="left"/>
      </w:pPr>
    </w:p>
    <w:p w14:paraId="47C8C7BB" w14:textId="77777777" w:rsidR="009A3ED5" w:rsidRDefault="009A3ED5">
      <w:pPr>
        <w:ind w:firstLine="570"/>
        <w:jc w:val="left"/>
      </w:pPr>
    </w:p>
    <w:p w14:paraId="7CA33735" w14:textId="77777777" w:rsidR="009A3ED5" w:rsidRDefault="009A3ED5">
      <w:pPr>
        <w:ind w:firstLine="570"/>
        <w:jc w:val="left"/>
      </w:pPr>
    </w:p>
    <w:p w14:paraId="1C89EA23" w14:textId="77777777" w:rsidR="009A3ED5" w:rsidRDefault="009A3ED5">
      <w:pPr>
        <w:ind w:firstLine="570"/>
        <w:jc w:val="left"/>
      </w:pPr>
    </w:p>
    <w:p w14:paraId="71E7FA2F" w14:textId="77777777" w:rsidR="009A3ED5" w:rsidRDefault="009A3ED5">
      <w:pPr>
        <w:ind w:firstLine="570"/>
        <w:jc w:val="left"/>
      </w:pPr>
    </w:p>
    <w:p w14:paraId="6B75C320" w14:textId="77777777" w:rsidR="009A3ED5" w:rsidRDefault="009A3ED5">
      <w:pPr>
        <w:ind w:firstLine="570"/>
        <w:jc w:val="left"/>
      </w:pPr>
    </w:p>
    <w:p w14:paraId="1FCB8BC0" w14:textId="77777777" w:rsidR="009A3ED5" w:rsidRDefault="009A3ED5">
      <w:pPr>
        <w:ind w:firstLine="570"/>
        <w:jc w:val="left"/>
      </w:pPr>
    </w:p>
    <w:p w14:paraId="5EBD1898" w14:textId="77777777" w:rsidR="009A3ED5" w:rsidRDefault="009A3ED5">
      <w:pPr>
        <w:ind w:firstLine="570"/>
        <w:jc w:val="left"/>
      </w:pPr>
    </w:p>
    <w:p w14:paraId="176562E0" w14:textId="77777777" w:rsidR="009A3ED5" w:rsidRDefault="009A3ED5">
      <w:pPr>
        <w:ind w:firstLine="570"/>
        <w:jc w:val="left"/>
      </w:pPr>
    </w:p>
    <w:p w14:paraId="278EF52E" w14:textId="77777777" w:rsidR="009A3ED5" w:rsidRDefault="009A3ED5">
      <w:pPr>
        <w:ind w:firstLine="570"/>
        <w:jc w:val="left"/>
      </w:pPr>
    </w:p>
    <w:p w14:paraId="3260BC54" w14:textId="77777777" w:rsidR="009A3ED5" w:rsidRDefault="009A3ED5">
      <w:pPr>
        <w:ind w:firstLine="570"/>
        <w:jc w:val="left"/>
      </w:pPr>
    </w:p>
    <w:p w14:paraId="4425BB75" w14:textId="77777777" w:rsidR="009A3ED5" w:rsidRDefault="009A3ED5">
      <w:pPr>
        <w:ind w:firstLine="570"/>
        <w:jc w:val="left"/>
      </w:pPr>
    </w:p>
    <w:p w14:paraId="76954248" w14:textId="77777777" w:rsidR="009A3ED5" w:rsidRDefault="009A3ED5">
      <w:pPr>
        <w:ind w:firstLine="570"/>
        <w:jc w:val="left"/>
      </w:pPr>
    </w:p>
    <w:p w14:paraId="571CA8A2" w14:textId="77777777" w:rsidR="009A3ED5" w:rsidRDefault="009A3ED5">
      <w:pPr>
        <w:ind w:firstLine="570"/>
        <w:jc w:val="left"/>
      </w:pPr>
    </w:p>
    <w:p w14:paraId="017E3F06" w14:textId="77777777" w:rsidR="009A3ED5" w:rsidRDefault="009A3ED5">
      <w:pPr>
        <w:ind w:firstLine="570"/>
        <w:jc w:val="left"/>
      </w:pPr>
    </w:p>
    <w:p w14:paraId="6344796F" w14:textId="77777777" w:rsidR="009A3ED5" w:rsidRDefault="009A3ED5">
      <w:pPr>
        <w:ind w:firstLine="570"/>
        <w:jc w:val="left"/>
      </w:pPr>
    </w:p>
    <w:p w14:paraId="54F37044" w14:textId="77777777" w:rsidR="009A3ED5" w:rsidRDefault="009A3ED5">
      <w:pPr>
        <w:ind w:firstLine="570"/>
        <w:jc w:val="left"/>
      </w:pPr>
    </w:p>
    <w:p w14:paraId="1A26B6F3" w14:textId="77777777" w:rsidR="009A3ED5" w:rsidRDefault="009A3ED5">
      <w:pPr>
        <w:ind w:firstLine="570"/>
        <w:jc w:val="left"/>
      </w:pPr>
    </w:p>
    <w:p w14:paraId="5A453E60" w14:textId="77777777" w:rsidR="009A3ED5" w:rsidRDefault="009A3ED5">
      <w:pPr>
        <w:ind w:firstLine="570"/>
        <w:jc w:val="left"/>
      </w:pPr>
    </w:p>
    <w:p w14:paraId="2D76C843" w14:textId="77777777" w:rsidR="009A3ED5" w:rsidRDefault="009A3ED5">
      <w:pPr>
        <w:ind w:firstLine="570"/>
        <w:jc w:val="left"/>
      </w:pPr>
    </w:p>
    <w:p w14:paraId="40ED6E95" w14:textId="77777777" w:rsidR="009A3ED5" w:rsidRDefault="009A3ED5">
      <w:pPr>
        <w:ind w:firstLine="570"/>
        <w:jc w:val="left"/>
      </w:pPr>
    </w:p>
    <w:p w14:paraId="6FB82577" w14:textId="77777777" w:rsidR="009A3ED5" w:rsidRPr="00D90E53" w:rsidRDefault="009A3ED5">
      <w:pPr>
        <w:ind w:firstLine="570"/>
        <w:jc w:val="left"/>
      </w:pPr>
    </w:p>
    <w:p w14:paraId="0682302F" w14:textId="77777777" w:rsidR="00D90E53" w:rsidRPr="00D90E53" w:rsidRDefault="00D90E53">
      <w:pPr>
        <w:ind w:firstLine="570"/>
        <w:jc w:val="left"/>
      </w:pPr>
    </w:p>
    <w:p w14:paraId="4B7F288E" w14:textId="77777777" w:rsidR="00D90E53" w:rsidRPr="00D90E53" w:rsidRDefault="00D90E53">
      <w:pPr>
        <w:ind w:firstLine="570"/>
        <w:jc w:val="left"/>
      </w:pPr>
    </w:p>
    <w:p w14:paraId="6843B33D" w14:textId="77777777" w:rsidR="00D90E53" w:rsidRPr="00D90E53" w:rsidRDefault="00D90E53">
      <w:pPr>
        <w:ind w:firstLine="570"/>
        <w:jc w:val="left"/>
      </w:pPr>
    </w:p>
    <w:p w14:paraId="08401B55" w14:textId="77777777" w:rsidR="00D90E53" w:rsidRPr="00D90E53" w:rsidRDefault="00D90E53">
      <w:pPr>
        <w:ind w:firstLine="570"/>
        <w:jc w:val="left"/>
      </w:pPr>
    </w:p>
    <w:p w14:paraId="1E653C23" w14:textId="77777777" w:rsidR="00D90E53" w:rsidRPr="00D90E53" w:rsidRDefault="00D90E53">
      <w:pPr>
        <w:ind w:firstLine="570"/>
        <w:jc w:val="left"/>
      </w:pPr>
    </w:p>
    <w:p w14:paraId="2CC0BD4B" w14:textId="77777777" w:rsidR="00D90E53" w:rsidRPr="00D90E53" w:rsidRDefault="00D90E53">
      <w:pPr>
        <w:ind w:firstLine="570"/>
        <w:jc w:val="left"/>
      </w:pPr>
    </w:p>
    <w:p w14:paraId="792AB105" w14:textId="77777777" w:rsidR="00D90E53" w:rsidRPr="00D90E53" w:rsidRDefault="00D90E53">
      <w:pPr>
        <w:ind w:firstLine="570"/>
        <w:jc w:val="left"/>
      </w:pPr>
    </w:p>
    <w:p w14:paraId="75D617A8" w14:textId="77777777" w:rsidR="00D90E53" w:rsidRPr="00D90E53" w:rsidRDefault="00D90E53">
      <w:pPr>
        <w:ind w:firstLine="570"/>
        <w:jc w:val="left"/>
      </w:pPr>
    </w:p>
    <w:p w14:paraId="31567833" w14:textId="77777777" w:rsidR="00D90E53" w:rsidRPr="00D90E53" w:rsidRDefault="00D90E53">
      <w:pPr>
        <w:ind w:firstLine="570"/>
        <w:jc w:val="left"/>
      </w:pPr>
    </w:p>
    <w:p w14:paraId="5D4E1338" w14:textId="77777777" w:rsidR="00D90E53" w:rsidRPr="00D90E53" w:rsidRDefault="00D90E53">
      <w:pPr>
        <w:ind w:firstLine="570"/>
        <w:jc w:val="left"/>
      </w:pPr>
    </w:p>
    <w:p w14:paraId="17442B41" w14:textId="77777777" w:rsidR="00D90E53" w:rsidRPr="00D90E53" w:rsidRDefault="00D90E53">
      <w:pPr>
        <w:ind w:firstLine="570"/>
        <w:jc w:val="left"/>
      </w:pPr>
    </w:p>
    <w:p w14:paraId="2D3C2346" w14:textId="77777777" w:rsidR="00D90E53" w:rsidRPr="00D90E53" w:rsidRDefault="00D90E53">
      <w:pPr>
        <w:ind w:firstLine="570"/>
        <w:jc w:val="left"/>
      </w:pPr>
    </w:p>
    <w:p w14:paraId="7721F2EB" w14:textId="77777777" w:rsidR="00D90E53" w:rsidRPr="00D90E53" w:rsidRDefault="00D90E53">
      <w:pPr>
        <w:ind w:firstLine="570"/>
        <w:jc w:val="left"/>
      </w:pPr>
    </w:p>
    <w:p w14:paraId="6C710DF1" w14:textId="77777777" w:rsidR="00D90E53" w:rsidRPr="00D90E53" w:rsidRDefault="00D90E53">
      <w:pPr>
        <w:ind w:firstLine="570"/>
        <w:jc w:val="left"/>
      </w:pPr>
    </w:p>
    <w:p w14:paraId="4830B808" w14:textId="77777777" w:rsidR="00D90E53" w:rsidRPr="00D90E53" w:rsidRDefault="00D90E53">
      <w:pPr>
        <w:ind w:firstLine="570"/>
        <w:jc w:val="left"/>
      </w:pPr>
    </w:p>
    <w:p w14:paraId="1010F0E3" w14:textId="77777777" w:rsidR="00D90E53" w:rsidRPr="00D90E53" w:rsidRDefault="00D90E53">
      <w:pPr>
        <w:ind w:firstLine="570"/>
        <w:jc w:val="left"/>
      </w:pPr>
    </w:p>
    <w:p w14:paraId="74F5F01B" w14:textId="77777777" w:rsidR="00D90E53" w:rsidRPr="00D90E53" w:rsidRDefault="00D90E53">
      <w:pPr>
        <w:ind w:firstLine="570"/>
        <w:jc w:val="left"/>
      </w:pPr>
    </w:p>
    <w:p w14:paraId="1A092C21" w14:textId="77777777" w:rsidR="00D90E53" w:rsidRPr="00D90E53" w:rsidRDefault="00D90E53">
      <w:pPr>
        <w:ind w:firstLine="570"/>
        <w:jc w:val="left"/>
      </w:pPr>
    </w:p>
    <w:p w14:paraId="6CEEAC40" w14:textId="77777777" w:rsidR="00D90E53" w:rsidRPr="00D90E53" w:rsidRDefault="00D90E53">
      <w:pPr>
        <w:ind w:firstLine="570"/>
        <w:jc w:val="left"/>
      </w:pPr>
    </w:p>
    <w:p w14:paraId="1B531148" w14:textId="77777777" w:rsidR="00D90E53" w:rsidRPr="00D90E53" w:rsidRDefault="00D90E53">
      <w:pPr>
        <w:ind w:firstLine="570"/>
        <w:jc w:val="left"/>
      </w:pPr>
    </w:p>
    <w:p w14:paraId="5CCABEB6" w14:textId="77777777" w:rsidR="00D90E53" w:rsidRPr="00D90E53" w:rsidRDefault="00D90E53">
      <w:pPr>
        <w:ind w:firstLine="570"/>
        <w:jc w:val="left"/>
      </w:pPr>
    </w:p>
    <w:p w14:paraId="690337D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321241D9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2FAC4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171B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7E247B75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EFE9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 w14:paraId="3EAE9146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1321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61A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8576869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7EE1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C30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F9338A6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4D7CE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88C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F95079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F1352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4AD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64255B2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1A0C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2D9283B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892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72C91FD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DE590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320ACA7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394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E04161C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957C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127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40D9F1D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D0FBB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DF7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487566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9DEF1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C06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A7CAAB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BB57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971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514FAEC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AEF1A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30B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2F82259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F10CB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BA9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390759B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9E92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47D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7C6F094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0AC409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6A55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67E7ED6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3F72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97D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03A7526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C36E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209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1E141C9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10D65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5C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4468C62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9770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9E9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16F3C74D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874C1F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F55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0DADF6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31A466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A53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57B8997A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5FE4C63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28980F42" w14:textId="77777777" w:rsidTr="00252412">
        <w:trPr>
          <w:trHeight w:val="921"/>
        </w:trPr>
        <w:tc>
          <w:tcPr>
            <w:tcW w:w="5103" w:type="dxa"/>
          </w:tcPr>
          <w:p w14:paraId="66953792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581C51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E72D02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5A86F56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59C42A28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5921A5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10A802F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AE46476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56EEF774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6C8E22F4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23DFCB86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5B8FA84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137620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4B906F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94C990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A96977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E3CF9B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4437F6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C7C2BB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2A5473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9AA1D5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E345EF6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2BD15F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0BE05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8AB01C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36F75A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6022D89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2C99C9BF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2DD6A3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340CB46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7C3099C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0545C98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F711288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4FE0A0AE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78112AB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2DB613B2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2A82803A" w14:textId="77777777">
        <w:trPr>
          <w:trHeight w:val="257"/>
        </w:trPr>
        <w:tc>
          <w:tcPr>
            <w:tcW w:w="984" w:type="dxa"/>
          </w:tcPr>
          <w:p w14:paraId="3D1E6AF5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52FA03EE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5C75B3E0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32A5009A" w14:textId="77777777">
        <w:trPr>
          <w:trHeight w:val="1060"/>
        </w:trPr>
        <w:tc>
          <w:tcPr>
            <w:tcW w:w="984" w:type="dxa"/>
            <w:vAlign w:val="center"/>
          </w:tcPr>
          <w:p w14:paraId="6B7E0177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5C0B2E9C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34080498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7F14F56C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62183C80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56D5D589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646DDD3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65CC1E6E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2B85C8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5C320A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39C79C0D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30EE230C" w14:textId="77777777">
        <w:tc>
          <w:tcPr>
            <w:tcW w:w="5137" w:type="dxa"/>
          </w:tcPr>
          <w:p w14:paraId="39BA7737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417C405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6BC13E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85472C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C3879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A369E01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0C584B8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256589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3591EEA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A7C526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E732BC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363B87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3A80C57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AC35B1A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38AC2D1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DE1B" w14:textId="77777777" w:rsidR="00585EF6" w:rsidRDefault="00585EF6">
      <w:r>
        <w:separator/>
      </w:r>
    </w:p>
  </w:endnote>
  <w:endnote w:type="continuationSeparator" w:id="0">
    <w:p w14:paraId="6EF5A659" w14:textId="77777777" w:rsidR="00585EF6" w:rsidRDefault="0058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09390C49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FB61B2C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83D32A9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ECD68C4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82479E" w:rsidRPr="0082479E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B62806">
            <w:fldChar w:fldCharType="begin"/>
          </w:r>
          <w:r w:rsidR="00B62806">
            <w:instrText xml:space="preserve">NUMPAGES  \* Arabic  \* MERGEFORMAT </w:instrText>
          </w:r>
          <w:r w:rsidR="00B62806">
            <w:fldChar w:fldCharType="separate"/>
          </w:r>
          <w:r w:rsidR="0082479E" w:rsidRPr="0082479E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B6280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CBFB" w14:textId="77777777" w:rsidR="00585EF6" w:rsidRDefault="00585EF6">
      <w:r>
        <w:separator/>
      </w:r>
    </w:p>
  </w:footnote>
  <w:footnote w:type="continuationSeparator" w:id="0">
    <w:p w14:paraId="029E3BE1" w14:textId="77777777" w:rsidR="00585EF6" w:rsidRDefault="00585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25C02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0D34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6A2F"/>
    <w:rsid w:val="005B4E92"/>
    <w:rsid w:val="005C0B8C"/>
    <w:rsid w:val="005C1173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10DAA"/>
    <w:rsid w:val="0081249A"/>
    <w:rsid w:val="0082479E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2806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45C94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AA6E6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9A93-DA6B-4B8D-B014-684538B8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5547</Words>
  <Characters>42188</Characters>
  <Application>Microsoft Office Word</Application>
  <DocSecurity>0</DocSecurity>
  <Lines>351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8</cp:revision>
  <cp:lastPrinted>2023-10-03T06:26:00Z</cp:lastPrinted>
  <dcterms:created xsi:type="dcterms:W3CDTF">2024-04-25T11:10:00Z</dcterms:created>
  <dcterms:modified xsi:type="dcterms:W3CDTF">2025-07-17T07:00:00Z</dcterms:modified>
</cp:coreProperties>
</file>