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C368C7">
      <w:pPr>
        <w:pStyle w:val="188"/>
        <w:ind w:firstLine="567"/>
        <w:rPr>
          <w:szCs w:val="24"/>
        </w:rPr>
      </w:pPr>
      <w:r>
        <w:rPr>
          <w:szCs w:val="24"/>
        </w:rPr>
        <w:t>ДОГОВОР №</w:t>
      </w:r>
      <w:r>
        <w:rPr>
          <w:b w:val="0"/>
          <w:lang w:eastAsia="ar-SA"/>
        </w:rPr>
        <w:t>_______</w:t>
      </w:r>
    </w:p>
    <w:p w14:paraId="17976779">
      <w:pPr>
        <w:pStyle w:val="188"/>
        <w:ind w:firstLine="567"/>
        <w:rPr>
          <w:szCs w:val="24"/>
          <w:lang w:eastAsia="ar-SA"/>
        </w:rPr>
      </w:pPr>
      <w:r>
        <w:rPr>
          <w:szCs w:val="24"/>
          <w:lang w:eastAsia="ar-SA"/>
        </w:rPr>
        <w:t>участия в долевом строительстве многоквартирного дома</w:t>
      </w:r>
    </w:p>
    <w:p w14:paraId="266943E2">
      <w:pPr>
        <w:pStyle w:val="184"/>
        <w:rPr>
          <w:lang w:eastAsia="ar-SA"/>
        </w:rPr>
      </w:pPr>
    </w:p>
    <w:p w14:paraId="2F5DEE0C">
      <w:pPr>
        <w:pStyle w:val="184"/>
        <w:rPr>
          <w:lang w:eastAsia="ar-SA"/>
        </w:rPr>
      </w:pPr>
      <w:r>
        <w:rPr>
          <w:lang w:eastAsia="ar-SA"/>
        </w:rPr>
        <w:t xml:space="preserve">г. Краснодар                                                                                   «____» </w:t>
      </w:r>
      <w:r>
        <w:rPr>
          <w:b/>
          <w:lang w:eastAsia="ar-SA"/>
        </w:rPr>
        <w:t>_____________</w:t>
      </w:r>
      <w:r>
        <w:rPr>
          <w:lang w:eastAsia="ar-SA"/>
        </w:rPr>
        <w:t xml:space="preserve"> </w:t>
      </w:r>
      <w:r>
        <w:t>202___ г.</w:t>
      </w:r>
    </w:p>
    <w:p w14:paraId="41821DFF">
      <w:pPr>
        <w:pStyle w:val="184"/>
        <w:rPr>
          <w:lang w:eastAsia="ar-SA"/>
        </w:rPr>
      </w:pPr>
    </w:p>
    <w:p w14:paraId="37C59F19">
      <w:pPr>
        <w:spacing w:after="0" w:line="240" w:lineRule="auto"/>
        <w:ind w:firstLine="709"/>
        <w:jc w:val="both"/>
        <w:rPr>
          <w:rFonts w:ascii="Times New Roman" w:hAnsi="Times New Roman" w:eastAsia="Arial CYR" w:cs="Times New Roman"/>
          <w:bCs/>
          <w:sz w:val="24"/>
          <w:szCs w:val="24"/>
          <w:lang w:eastAsia="ru-RU"/>
        </w:rPr>
      </w:pPr>
      <w:bookmarkStart w:id="0" w:name="_Hlk14195557"/>
      <w:r>
        <w:rPr>
          <w:rFonts w:ascii="Times New Roman" w:hAnsi="Times New Roman" w:cs="Times New Roman"/>
          <w:b/>
          <w:bCs/>
          <w:sz w:val="24"/>
          <w:szCs w:val="24"/>
        </w:rPr>
        <w:t>Общество с ограниченной ответственностью Специализированный застройщик «Марьянский парк»</w:t>
      </w:r>
      <w:r>
        <w:rPr>
          <w:rFonts w:ascii="Times New Roman" w:hAnsi="Times New Roman" w:cs="Times New Roman"/>
          <w:sz w:val="24"/>
          <w:szCs w:val="24"/>
        </w:rPr>
        <w:t xml:space="preserve">, в лице </w:t>
      </w:r>
      <w:r>
        <w:rPr>
          <w:rFonts w:ascii="Times New Roman" w:hAnsi="Times New Roman" w:cs="Times New Roman"/>
          <w:b/>
          <w:bCs/>
          <w:sz w:val="24"/>
          <w:szCs w:val="24"/>
        </w:rPr>
        <w:t xml:space="preserve">генерального директора управляющей организации общества с ограниченной ответственностью «Лендекс управление» </w:t>
      </w:r>
      <w:r>
        <w:rPr>
          <w:rFonts w:ascii="Times New Roman" w:hAnsi="Times New Roman" w:cs="Times New Roman"/>
          <w:b/>
          <w:bCs/>
          <w:sz w:val="24"/>
          <w:szCs w:val="24"/>
          <w:lang w:val="ru-RU"/>
        </w:rPr>
        <w:t>Морозовой</w:t>
      </w:r>
      <w:r>
        <w:rPr>
          <w:rFonts w:hint="default" w:ascii="Times New Roman" w:hAnsi="Times New Roman" w:cs="Times New Roman"/>
          <w:b/>
          <w:bCs/>
          <w:sz w:val="24"/>
          <w:szCs w:val="24"/>
          <w:lang w:val="ru-RU"/>
        </w:rPr>
        <w:t xml:space="preserve"> Виктории Николаевны</w:t>
      </w:r>
      <w:r>
        <w:rPr>
          <w:rFonts w:ascii="Times New Roman" w:hAnsi="Times New Roman" w:cs="Times New Roman"/>
          <w:sz w:val="24"/>
          <w:szCs w:val="24"/>
        </w:rPr>
        <w:t xml:space="preserve">, действующего на основании Договора о передаче полномочий единоличного исполнительного органа управляющей организации от 28.01.2025 г., Свидетельства от </w:t>
      </w:r>
      <w:r>
        <w:rPr>
          <w:rFonts w:hint="default" w:ascii="Times New Roman" w:hAnsi="Times New Roman" w:cs="Times New Roman"/>
          <w:sz w:val="24"/>
          <w:szCs w:val="24"/>
          <w:lang w:val="en-US"/>
        </w:rPr>
        <w:t>13</w:t>
      </w:r>
      <w:r>
        <w:rPr>
          <w:rFonts w:hint="default" w:ascii="Times New Roman" w:hAnsi="Times New Roman" w:cs="Times New Roman"/>
          <w:sz w:val="24"/>
          <w:szCs w:val="24"/>
          <w:lang w:val="ru-RU"/>
        </w:rPr>
        <w:t>.11</w:t>
      </w:r>
      <w:r>
        <w:rPr>
          <w:rFonts w:ascii="Times New Roman" w:hAnsi="Times New Roman" w:cs="Times New Roman"/>
          <w:sz w:val="24"/>
          <w:szCs w:val="24"/>
        </w:rPr>
        <w:t>.2025 г. об удостоверении Решения единственного участника № 0</w:t>
      </w:r>
      <w:r>
        <w:rPr>
          <w:rFonts w:hint="default" w:ascii="Times New Roman" w:hAnsi="Times New Roman" w:cs="Times New Roman"/>
          <w:sz w:val="24"/>
          <w:szCs w:val="24"/>
          <w:lang w:val="ru-RU"/>
        </w:rPr>
        <w:t>6</w:t>
      </w:r>
      <w:r>
        <w:rPr>
          <w:rFonts w:ascii="Times New Roman" w:hAnsi="Times New Roman" w:cs="Times New Roman"/>
          <w:sz w:val="24"/>
          <w:szCs w:val="24"/>
        </w:rPr>
        <w:t xml:space="preserve">/2025 общества с ограниченной ответственностью Специализированный застройщик «Марьянский парк» от </w:t>
      </w:r>
      <w:r>
        <w:rPr>
          <w:rFonts w:hint="default" w:ascii="Times New Roman" w:hAnsi="Times New Roman" w:cs="Times New Roman"/>
          <w:sz w:val="24"/>
          <w:szCs w:val="24"/>
          <w:lang w:val="ru-RU"/>
        </w:rPr>
        <w:t>13.11</w:t>
      </w:r>
      <w:r>
        <w:rPr>
          <w:rFonts w:ascii="Times New Roman" w:hAnsi="Times New Roman" w:cs="Times New Roman"/>
          <w:sz w:val="24"/>
          <w:szCs w:val="24"/>
        </w:rPr>
        <w:t>.2025 г., зарегистрированного в реестре № 23/256-н/23-2025-</w:t>
      </w:r>
      <w:r>
        <w:rPr>
          <w:rFonts w:hint="default" w:ascii="Times New Roman" w:hAnsi="Times New Roman" w:cs="Times New Roman"/>
          <w:sz w:val="24"/>
          <w:szCs w:val="24"/>
          <w:lang w:val="ru-RU"/>
        </w:rPr>
        <w:t>16-547 и Устава</w:t>
      </w:r>
      <w:r>
        <w:rPr>
          <w:rFonts w:ascii="Times New Roman" w:hAnsi="Times New Roman" w:eastAsia="Arial CYR" w:cs="Times New Roman"/>
          <w:bCs/>
          <w:sz w:val="24"/>
          <w:szCs w:val="24"/>
        </w:rPr>
        <w:t>, в дальнейшем  именуемое Застройщик</w:t>
      </w:r>
      <w:r>
        <w:rPr>
          <w:rFonts w:ascii="Times New Roman" w:hAnsi="Times New Roman" w:eastAsia="Arial CYR" w:cs="Times New Roman"/>
          <w:bCs/>
          <w:sz w:val="24"/>
          <w:szCs w:val="24"/>
        </w:rPr>
        <w:t>, с одной стороны, и</w:t>
      </w:r>
    </w:p>
    <w:p w14:paraId="34F02577">
      <w:pPr>
        <w:pStyle w:val="184"/>
        <w:ind w:firstLine="709"/>
      </w:pPr>
      <w:r>
        <w:rPr>
          <w:rFonts w:eastAsia="Lucida Sans Unicode"/>
        </w:rPr>
        <w:t xml:space="preserve">Граждан__ Российской </w:t>
      </w:r>
      <w:r>
        <w:t xml:space="preserve">Федерации </w:t>
      </w:r>
      <w:r>
        <w:rPr>
          <w:b/>
          <w:lang w:eastAsia="ar-SA"/>
        </w:rPr>
        <w:fldChar w:fldCharType="begin"/>
      </w:r>
      <w:r>
        <w:rPr>
          <w:b/>
          <w:lang w:eastAsia="ar-SA"/>
        </w:rPr>
        <w:instrText xml:space="preserve"> FORMTEXT </w:instrText>
      </w:r>
      <w:r>
        <w:rPr>
          <w:b/>
          <w:lang w:eastAsia="ar-SA"/>
        </w:rPr>
        <w:fldChar w:fldCharType="separate"/>
      </w:r>
      <w:r>
        <w:rPr>
          <w:b/>
          <w:lang w:eastAsia="ar-SA"/>
        </w:rPr>
        <w:t>________________________________</w:t>
      </w:r>
      <w:r>
        <w:rPr>
          <w:b/>
          <w:lang w:eastAsia="ar-SA"/>
        </w:rPr>
        <w:fldChar w:fldCharType="end"/>
      </w:r>
      <w:r>
        <w:t xml:space="preserve">, дата рождения: </w:t>
      </w:r>
      <w:r>
        <w:rPr>
          <w:b/>
          <w:lang w:eastAsia="ar-SA"/>
        </w:rPr>
        <w:fldChar w:fldCharType="begin"/>
      </w:r>
      <w:r>
        <w:rPr>
          <w:b/>
          <w:lang w:eastAsia="ar-SA"/>
        </w:rPr>
        <w:instrText xml:space="preserve"> FORMTEXT </w:instrText>
      </w:r>
      <w:r>
        <w:rPr>
          <w:b/>
          <w:lang w:eastAsia="ar-SA"/>
        </w:rPr>
        <w:fldChar w:fldCharType="separate"/>
      </w:r>
      <w:r>
        <w:rPr>
          <w:b/>
          <w:lang w:eastAsia="ar-SA"/>
        </w:rPr>
        <w:t>___________________</w:t>
      </w:r>
      <w:r>
        <w:rPr>
          <w:b/>
          <w:lang w:eastAsia="ar-SA"/>
        </w:rPr>
        <w:fldChar w:fldCharType="end"/>
      </w:r>
      <w:r>
        <w:t xml:space="preserve">, место рождения: </w:t>
      </w:r>
      <w:r>
        <w:rPr>
          <w:b/>
          <w:lang w:eastAsia="ar-SA"/>
        </w:rPr>
        <w:fldChar w:fldCharType="begin"/>
      </w:r>
      <w:r>
        <w:rPr>
          <w:b/>
          <w:lang w:eastAsia="ar-SA"/>
        </w:rPr>
        <w:instrText xml:space="preserve"> FORMTEXT </w:instrText>
      </w:r>
      <w:r>
        <w:rPr>
          <w:b/>
          <w:lang w:eastAsia="ar-SA"/>
        </w:rPr>
        <w:fldChar w:fldCharType="separate"/>
      </w:r>
      <w:r>
        <w:rPr>
          <w:b/>
          <w:lang w:eastAsia="ar-SA"/>
        </w:rPr>
        <w:t>________________________________</w:t>
      </w:r>
      <w:r>
        <w:rPr>
          <w:b/>
          <w:lang w:eastAsia="ar-SA"/>
        </w:rPr>
        <w:fldChar w:fldCharType="end"/>
      </w:r>
      <w:r>
        <w:t xml:space="preserve">, пол: </w:t>
      </w:r>
      <w:r>
        <w:rPr>
          <w:b/>
          <w:lang w:eastAsia="ar-SA"/>
        </w:rPr>
        <w:fldChar w:fldCharType="begin"/>
      </w:r>
      <w:r>
        <w:rPr>
          <w:b/>
          <w:lang w:eastAsia="ar-SA"/>
        </w:rPr>
        <w:instrText xml:space="preserve"> FORMTEXT </w:instrText>
      </w:r>
      <w:r>
        <w:rPr>
          <w:b/>
          <w:lang w:eastAsia="ar-SA"/>
        </w:rPr>
        <w:fldChar w:fldCharType="separate"/>
      </w:r>
      <w:r>
        <w:rPr>
          <w:b/>
          <w:lang w:eastAsia="ar-SA"/>
        </w:rPr>
        <w:t>_____</w:t>
      </w:r>
      <w:r>
        <w:rPr>
          <w:b/>
          <w:lang w:eastAsia="ar-SA"/>
        </w:rPr>
        <w:fldChar w:fldCharType="end"/>
      </w:r>
      <w:r>
        <w:t xml:space="preserve">, гражданство: </w:t>
      </w:r>
      <w:r>
        <w:fldChar w:fldCharType="begin"/>
      </w:r>
      <w:bookmarkStart w:id="1" w:name="ТекстовоеПоле8"/>
      <w:r>
        <w:instrText xml:space="preserve"> FORMTEXT </w:instrText>
      </w:r>
      <w:r>
        <w:fldChar w:fldCharType="separate"/>
      </w:r>
      <w:r>
        <w:t>Российская Федерация</w:t>
      </w:r>
      <w:r>
        <w:fldChar w:fldCharType="end"/>
      </w:r>
      <w:bookmarkEnd w:id="1"/>
      <w:r>
        <w:t xml:space="preserve">, паспорт: серия </w:t>
      </w:r>
      <w:r>
        <w:rPr>
          <w:b/>
          <w:lang w:eastAsia="ar-SA"/>
        </w:rPr>
        <w:fldChar w:fldCharType="begin"/>
      </w:r>
      <w:r>
        <w:rPr>
          <w:b/>
          <w:lang w:eastAsia="ar-SA"/>
        </w:rPr>
        <w:instrText xml:space="preserve"> FORMTEXT </w:instrText>
      </w:r>
      <w:r>
        <w:rPr>
          <w:b/>
          <w:lang w:eastAsia="ar-SA"/>
        </w:rPr>
        <w:fldChar w:fldCharType="separate"/>
      </w:r>
      <w:r>
        <w:rPr>
          <w:b/>
          <w:lang w:eastAsia="ar-SA"/>
        </w:rPr>
        <w:t>_____</w:t>
      </w:r>
      <w:r>
        <w:rPr>
          <w:b/>
          <w:lang w:eastAsia="ar-SA"/>
        </w:rPr>
        <w:fldChar w:fldCharType="end"/>
      </w:r>
      <w:r>
        <w:t xml:space="preserve"> номер </w:t>
      </w:r>
      <w:r>
        <w:rPr>
          <w:b/>
          <w:lang w:eastAsia="ar-SA"/>
        </w:rPr>
        <w:fldChar w:fldCharType="begin"/>
      </w:r>
      <w:r>
        <w:rPr>
          <w:b/>
          <w:lang w:eastAsia="ar-SA"/>
        </w:rPr>
        <w:instrText xml:space="preserve"> FORMTEXT </w:instrText>
      </w:r>
      <w:r>
        <w:rPr>
          <w:b/>
          <w:lang w:eastAsia="ar-SA"/>
        </w:rPr>
        <w:fldChar w:fldCharType="separate"/>
      </w:r>
      <w:r>
        <w:rPr>
          <w:b/>
          <w:lang w:eastAsia="ar-SA"/>
        </w:rPr>
        <w:t>_____</w:t>
      </w:r>
      <w:r>
        <w:rPr>
          <w:b/>
          <w:lang w:eastAsia="ar-SA"/>
        </w:rPr>
        <w:fldChar w:fldCharType="end"/>
      </w:r>
      <w:r>
        <w:t xml:space="preserve">, код подразделения </w:t>
      </w:r>
      <w:r>
        <w:rPr>
          <w:b/>
          <w:lang w:eastAsia="ar-SA"/>
        </w:rPr>
        <w:fldChar w:fldCharType="begin"/>
      </w:r>
      <w:r>
        <w:rPr>
          <w:b/>
          <w:lang w:eastAsia="ar-SA"/>
        </w:rPr>
        <w:instrText xml:space="preserve"> FORMTEXT </w:instrText>
      </w:r>
      <w:r>
        <w:rPr>
          <w:b/>
          <w:lang w:eastAsia="ar-SA"/>
        </w:rPr>
        <w:fldChar w:fldCharType="separate"/>
      </w:r>
      <w:r>
        <w:rPr>
          <w:b/>
          <w:lang w:eastAsia="ar-SA"/>
        </w:rPr>
        <w:t>_____</w:t>
      </w:r>
      <w:r>
        <w:rPr>
          <w:b/>
          <w:lang w:eastAsia="ar-SA"/>
        </w:rPr>
        <w:fldChar w:fldCharType="end"/>
      </w:r>
      <w:r>
        <w:t xml:space="preserve">, выдан </w:t>
      </w:r>
      <w:r>
        <w:rPr>
          <w:b/>
          <w:lang w:eastAsia="ar-SA"/>
        </w:rPr>
        <w:fldChar w:fldCharType="begin"/>
      </w:r>
      <w:r>
        <w:rPr>
          <w:b/>
          <w:lang w:eastAsia="ar-SA"/>
        </w:rPr>
        <w:instrText xml:space="preserve"> FORMTEXT </w:instrText>
      </w:r>
      <w:r>
        <w:rPr>
          <w:b/>
          <w:lang w:eastAsia="ar-SA"/>
        </w:rPr>
        <w:fldChar w:fldCharType="separate"/>
      </w:r>
      <w:r>
        <w:rPr>
          <w:b/>
          <w:lang w:eastAsia="ar-SA"/>
        </w:rPr>
        <w:t>_____</w:t>
      </w:r>
      <w:r>
        <w:rPr>
          <w:b/>
          <w:lang w:eastAsia="ar-SA"/>
        </w:rPr>
        <w:fldChar w:fldCharType="end"/>
      </w:r>
      <w:r>
        <w:t xml:space="preserve">года </w:t>
      </w:r>
      <w:r>
        <w:rPr>
          <w:b/>
          <w:lang w:eastAsia="ar-SA"/>
        </w:rPr>
        <w:fldChar w:fldCharType="begin"/>
      </w:r>
      <w:r>
        <w:rPr>
          <w:b/>
          <w:lang w:eastAsia="ar-SA"/>
        </w:rPr>
        <w:instrText xml:space="preserve"> FORMTEXT </w:instrText>
      </w:r>
      <w:r>
        <w:rPr>
          <w:b/>
          <w:lang w:eastAsia="ar-SA"/>
        </w:rPr>
        <w:fldChar w:fldCharType="separate"/>
      </w:r>
      <w:r>
        <w:rPr>
          <w:b/>
          <w:lang w:eastAsia="ar-SA"/>
        </w:rPr>
        <w:t>________________________________</w:t>
      </w:r>
      <w:r>
        <w:rPr>
          <w:b/>
          <w:lang w:eastAsia="ar-SA"/>
        </w:rPr>
        <w:fldChar w:fldCharType="end"/>
      </w:r>
      <w:r>
        <w:t xml:space="preserve">, зарегистрированная по адресу: </w:t>
      </w:r>
      <w:r>
        <w:rPr>
          <w:b/>
          <w:lang w:eastAsia="ar-SA"/>
        </w:rPr>
        <w:fldChar w:fldCharType="begin"/>
      </w:r>
      <w:r>
        <w:rPr>
          <w:b/>
          <w:lang w:eastAsia="ar-SA"/>
        </w:rPr>
        <w:instrText xml:space="preserve"> FORMTEXT </w:instrText>
      </w:r>
      <w:r>
        <w:rPr>
          <w:b/>
          <w:lang w:eastAsia="ar-SA"/>
        </w:rPr>
        <w:fldChar w:fldCharType="separate"/>
      </w:r>
      <w:r>
        <w:rPr>
          <w:b/>
          <w:lang w:eastAsia="ar-SA"/>
        </w:rPr>
        <w:t>________________________________</w:t>
      </w:r>
      <w:r>
        <w:rPr>
          <w:b/>
          <w:lang w:eastAsia="ar-SA"/>
        </w:rPr>
        <w:fldChar w:fldCharType="end"/>
      </w:r>
      <w:r>
        <w:t xml:space="preserve">,СНИЛС </w:t>
      </w:r>
      <w:r>
        <w:rPr>
          <w:b/>
          <w:lang w:eastAsia="ar-SA"/>
        </w:rPr>
        <w:fldChar w:fldCharType="begin"/>
      </w:r>
      <w:r>
        <w:rPr>
          <w:b/>
          <w:lang w:eastAsia="ar-SA"/>
        </w:rPr>
        <w:instrText xml:space="preserve"> FORMTEXT </w:instrText>
      </w:r>
      <w:r>
        <w:rPr>
          <w:b/>
          <w:lang w:eastAsia="ar-SA"/>
        </w:rPr>
        <w:fldChar w:fldCharType="separate"/>
      </w:r>
      <w:r>
        <w:rPr>
          <w:b/>
          <w:lang w:eastAsia="ar-SA"/>
        </w:rPr>
        <w:t>___________________</w:t>
      </w:r>
      <w:r>
        <w:rPr>
          <w:b/>
          <w:lang w:eastAsia="ar-SA"/>
        </w:rPr>
        <w:fldChar w:fldCharType="end"/>
      </w:r>
      <w:r>
        <w:t xml:space="preserve">, </w:t>
      </w:r>
      <w:bookmarkEnd w:id="0"/>
      <w:r>
        <w:t>именуем__ в дальнейшем «Участник долевого строительства», с другой стороны, совместно именуемые Стороны, а по отдельности – «Сторона», заключили настоящий договор о нижеследующем:</w:t>
      </w:r>
    </w:p>
    <w:p w14:paraId="7BDA0A30">
      <w:pPr>
        <w:spacing w:after="0" w:line="240" w:lineRule="auto"/>
        <w:ind w:firstLine="426"/>
        <w:jc w:val="center"/>
        <w:rPr>
          <w:rFonts w:ascii="Times New Roman" w:hAnsi="Times New Roman" w:eastAsia="Calibri" w:cs="Times New Roman"/>
          <w:b/>
          <w:sz w:val="24"/>
          <w:szCs w:val="24"/>
          <w:lang w:eastAsia="ar-SA"/>
        </w:rPr>
      </w:pPr>
      <w:r>
        <w:rPr>
          <w:rFonts w:ascii="Times New Roman" w:hAnsi="Times New Roman" w:eastAsia="Calibri" w:cs="Times New Roman"/>
          <w:b/>
          <w:sz w:val="24"/>
          <w:szCs w:val="24"/>
          <w:lang w:eastAsia="ar-SA"/>
        </w:rPr>
        <w:t>1. ОБЩИЕ ПОЛОЖЕНИЯ</w:t>
      </w:r>
    </w:p>
    <w:p w14:paraId="76C5C9F9">
      <w:pPr>
        <w:spacing w:after="0" w:line="240" w:lineRule="auto"/>
        <w:ind w:firstLine="709"/>
        <w:jc w:val="both"/>
        <w:rPr>
          <w:rFonts w:ascii="Times New Roman" w:hAnsi="Times New Roman" w:eastAsia="Arial CYR" w:cs="Times New Roman"/>
          <w:bCs/>
          <w:sz w:val="24"/>
          <w:szCs w:val="24"/>
          <w:lang w:eastAsia="ar-SA"/>
        </w:rPr>
      </w:pPr>
      <w:r>
        <w:rPr>
          <w:rFonts w:ascii="Times New Roman" w:hAnsi="Times New Roman" w:eastAsia="Arial CYR" w:cs="Times New Roman"/>
          <w:bCs/>
          <w:sz w:val="24"/>
          <w:szCs w:val="24"/>
          <w:lang w:eastAsia="ar-SA"/>
        </w:rPr>
        <w:t xml:space="preserve">1.1. Застройщик - юридическое лицо </w:t>
      </w:r>
      <w:r>
        <w:rPr>
          <w:rFonts w:ascii="Times New Roman" w:hAnsi="Times New Roman" w:eastAsia="Arial CYR" w:cs="Times New Roman"/>
          <w:b/>
          <w:bCs/>
          <w:sz w:val="24"/>
          <w:szCs w:val="24"/>
          <w:lang w:eastAsia="ar-SA"/>
        </w:rPr>
        <w:t xml:space="preserve">ООО СЗ </w:t>
      </w:r>
      <w:r>
        <w:rPr>
          <w:rFonts w:ascii="Times New Roman" w:hAnsi="Times New Roman" w:eastAsia="Arial CYR" w:cs="Times New Roman"/>
          <w:b/>
          <w:bCs/>
          <w:sz w:val="24"/>
          <w:szCs w:val="24"/>
        </w:rPr>
        <w:t>«Марьянский парк»</w:t>
      </w:r>
      <w:r>
        <w:rPr>
          <w:rFonts w:ascii="Times New Roman" w:hAnsi="Times New Roman" w:eastAsia="Arial CYR" w:cs="Times New Roman"/>
          <w:b/>
          <w:bCs/>
          <w:sz w:val="24"/>
          <w:szCs w:val="24"/>
          <w:lang w:eastAsia="ar-SA"/>
        </w:rPr>
        <w:t>,</w:t>
      </w:r>
      <w:r>
        <w:rPr>
          <w:rFonts w:ascii="Times New Roman" w:hAnsi="Times New Roman" w:eastAsia="Arial CYR" w:cs="Times New Roman"/>
          <w:bCs/>
          <w:sz w:val="24"/>
          <w:szCs w:val="24"/>
          <w:lang w:eastAsia="ar-SA"/>
        </w:rPr>
        <w:t xml:space="preserve"> на праве субаренды 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Российской Федерации для строительства (создания) на этом земельном участке Многоквартирного дома на основании полученного разрешения на строительство.</w:t>
      </w:r>
    </w:p>
    <w:p w14:paraId="1CE23D16">
      <w:pPr>
        <w:spacing w:after="0" w:line="240" w:lineRule="auto"/>
        <w:ind w:firstLine="709"/>
        <w:jc w:val="both"/>
        <w:rPr>
          <w:rFonts w:ascii="Times New Roman" w:hAnsi="Times New Roman" w:eastAsia="Arial CYR" w:cs="Times New Roman"/>
          <w:b/>
          <w:bCs/>
          <w:sz w:val="24"/>
          <w:szCs w:val="24"/>
          <w:lang w:eastAsia="ar-SA"/>
        </w:rPr>
      </w:pPr>
      <w:r>
        <w:rPr>
          <w:rFonts w:ascii="Times New Roman" w:hAnsi="Times New Roman" w:eastAsia="Arial CYR" w:cs="Times New Roman"/>
          <w:sz w:val="24"/>
          <w:szCs w:val="24"/>
          <w:lang w:eastAsia="ar-SA"/>
        </w:rPr>
        <w:t xml:space="preserve">1.2. Объект капитального строительства – </w:t>
      </w:r>
      <w:bookmarkStart w:id="2" w:name="_Hlk119928735"/>
      <w:r>
        <w:rPr>
          <w:rFonts w:ascii="Times New Roman" w:hAnsi="Times New Roman" w:eastAsia="Arial CYR" w:cs="Times New Roman"/>
          <w:sz w:val="24"/>
          <w:szCs w:val="24"/>
          <w:lang w:eastAsia="ar-SA"/>
        </w:rPr>
        <w:t>Жилая комплексная застройка</w:t>
      </w:r>
      <w:r>
        <w:rPr>
          <w:rFonts w:ascii="Times New Roman" w:hAnsi="Times New Roman" w:eastAsia="Arial CYR" w:cs="Times New Roman"/>
          <w:b/>
          <w:bCs/>
          <w:sz w:val="24"/>
          <w:szCs w:val="24"/>
          <w:lang w:eastAsia="ar-SA"/>
        </w:rPr>
        <w:t>.</w:t>
      </w:r>
      <w:bookmarkEnd w:id="2"/>
    </w:p>
    <w:p w14:paraId="2E4E3090">
      <w:pPr>
        <w:spacing w:after="0" w:line="240" w:lineRule="auto"/>
        <w:ind w:firstLine="709"/>
        <w:jc w:val="both"/>
        <w:rPr>
          <w:rFonts w:ascii="Times New Roman" w:hAnsi="Times New Roman" w:eastAsia="Arial CYR" w:cs="Times New Roman"/>
          <w:bCs/>
          <w:sz w:val="24"/>
          <w:szCs w:val="24"/>
          <w:lang w:eastAsia="ar-SA"/>
        </w:rPr>
      </w:pPr>
      <w:r>
        <w:rPr>
          <w:rFonts w:ascii="Times New Roman" w:hAnsi="Times New Roman" w:eastAsia="Arial CYR" w:cs="Times New Roman"/>
          <w:sz w:val="24"/>
          <w:szCs w:val="24"/>
          <w:lang w:eastAsia="ru-RU"/>
        </w:rPr>
        <w:t xml:space="preserve">Адрес (местоположение) объекта: </w:t>
      </w:r>
      <w:r>
        <w:rPr>
          <w:rFonts w:ascii="Times New Roman" w:hAnsi="Times New Roman" w:eastAsia="Arial CYR" w:cs="Times New Roman"/>
          <w:bCs/>
          <w:sz w:val="24"/>
          <w:szCs w:val="24"/>
          <w:lang w:eastAsia="ar-SA"/>
        </w:rPr>
        <w:t>Российская Федерация, Краснодарский край, Красноармейский район, Марьянское сельское поселение, станица Марьянская, ул. Минометчиков.</w:t>
      </w:r>
    </w:p>
    <w:p w14:paraId="08A9C74D">
      <w:pPr>
        <w:spacing w:after="0" w:line="240" w:lineRule="auto"/>
        <w:ind w:firstLine="709"/>
        <w:jc w:val="both"/>
        <w:rPr>
          <w:rFonts w:ascii="Times New Roman" w:hAnsi="Times New Roman" w:eastAsia="Arial CYR" w:cs="Times New Roman"/>
          <w:sz w:val="24"/>
          <w:szCs w:val="24"/>
          <w:lang w:eastAsia="ru-RU"/>
        </w:rPr>
      </w:pPr>
      <w:r>
        <w:rPr>
          <w:rFonts w:ascii="Times New Roman" w:hAnsi="Times New Roman" w:eastAsia="Times New Roman" w:cs="Times New Roman"/>
          <w:sz w:val="24"/>
          <w:szCs w:val="24"/>
          <w:lang w:eastAsia="ru-RU"/>
        </w:rPr>
        <w:t>Вид строящегося объекта</w:t>
      </w:r>
      <w:r>
        <w:rPr>
          <w:rFonts w:ascii="Times New Roman" w:hAnsi="Times New Roman" w:eastAsia="Arial CYR" w:cs="Times New Roman"/>
          <w:sz w:val="24"/>
          <w:szCs w:val="24"/>
          <w:lang w:eastAsia="ru-RU"/>
        </w:rPr>
        <w:t xml:space="preserve"> капитального строительства - Многоквартирный дом. </w:t>
      </w:r>
    </w:p>
    <w:p w14:paraId="6341F853">
      <w:pPr>
        <w:spacing w:after="0" w:line="240" w:lineRule="auto"/>
        <w:ind w:firstLine="709"/>
        <w:jc w:val="both"/>
        <w:rPr>
          <w:rFonts w:ascii="Times New Roman" w:hAnsi="Times New Roman" w:eastAsia="Arial CYR" w:cs="Times New Roman"/>
          <w:sz w:val="24"/>
          <w:szCs w:val="24"/>
          <w:lang w:eastAsia="ru-RU"/>
        </w:rPr>
      </w:pPr>
      <w:r>
        <w:rPr>
          <w:rFonts w:ascii="Times New Roman" w:hAnsi="Times New Roman" w:eastAsia="Arial CYR" w:cs="Times New Roman"/>
          <w:sz w:val="24"/>
          <w:szCs w:val="24"/>
          <w:lang w:eastAsia="ru-RU"/>
        </w:rPr>
        <w:t>Литер – 4.</w:t>
      </w:r>
    </w:p>
    <w:p w14:paraId="744F9748">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Назначение строящегося объекта капитального строительства – Жилое.</w:t>
      </w:r>
    </w:p>
    <w:p w14:paraId="2C6B9BD8">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Минимальное количество этажей в объекте –4.</w:t>
      </w:r>
    </w:p>
    <w:p w14:paraId="37467C85">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Максимальное количество этажей в объекте – 4.</w:t>
      </w:r>
    </w:p>
    <w:p w14:paraId="2623C5FF">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Общая площадь объекта капитального строительства – 4 566, 10 кв.м.</w:t>
      </w:r>
    </w:p>
    <w:p w14:paraId="456F8CA5">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Материал наружных стен и каркаса объекта: монолитный железобетон, кладка из газобетонных блоков, штукатурка.</w:t>
      </w:r>
    </w:p>
    <w:p w14:paraId="63737AF1">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Материал перекрытий объекта капитального строительства - монолитный железобетон.</w:t>
      </w:r>
    </w:p>
    <w:p w14:paraId="60406A0F">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Класс энергоэффективности объекта капитального строительства – В</w:t>
      </w:r>
    </w:p>
    <w:p w14:paraId="22319A9E">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Сейсмостойкость объекта капитального строительства - 8 баллов</w:t>
      </w:r>
    </w:p>
    <w:p w14:paraId="640558B7">
      <w:pPr>
        <w:spacing w:after="0" w:line="240" w:lineRule="auto"/>
        <w:ind w:firstLine="709"/>
        <w:jc w:val="both"/>
        <w:rPr>
          <w:rFonts w:ascii="Times New Roman" w:hAnsi="Times New Roman" w:eastAsia="Arial CYR" w:cs="Times New Roman"/>
          <w:sz w:val="24"/>
          <w:szCs w:val="24"/>
        </w:rPr>
      </w:pPr>
      <w:bookmarkStart w:id="3" w:name="_Hlk516340447"/>
      <w:r>
        <w:rPr>
          <w:rFonts w:ascii="Times New Roman" w:hAnsi="Times New Roman" w:eastAsia="Arial CYR"/>
          <w:sz w:val="24"/>
          <w:szCs w:val="24"/>
          <w:lang w:eastAsia="ar-SA"/>
        </w:rPr>
        <w:t xml:space="preserve">Основания проведения работ на объекте капитального строительства - </w:t>
      </w:r>
      <w:r>
        <w:rPr>
          <w:rFonts w:ascii="Times New Roman" w:hAnsi="Times New Roman"/>
          <w:sz w:val="21"/>
          <w:szCs w:val="21"/>
        </w:rPr>
        <w:t xml:space="preserve">Полученное </w:t>
      </w:r>
      <w:r>
        <w:rPr>
          <w:rFonts w:ascii="Times New Roman" w:hAnsi="Times New Roman" w:eastAsia="Arial CYR" w:cs="Times New Roman"/>
          <w:sz w:val="24"/>
          <w:szCs w:val="24"/>
        </w:rPr>
        <w:t>Застройщиком в установленном порядке Разрешение на строительство 23-13-75-2023 от 14 ноября 2023 г. выданное Администрацией муниципального образования Красноармейский район.</w:t>
      </w:r>
      <w:bookmarkEnd w:id="3"/>
    </w:p>
    <w:p w14:paraId="3C2962F6">
      <w:pPr>
        <w:spacing w:after="0" w:line="240" w:lineRule="auto"/>
        <w:ind w:firstLine="709"/>
        <w:jc w:val="both"/>
        <w:rPr>
          <w:rFonts w:ascii="Times New Roman" w:hAnsi="Times New Roman"/>
          <w:b/>
          <w:sz w:val="21"/>
          <w:szCs w:val="21"/>
        </w:rPr>
      </w:pPr>
      <w:r>
        <w:rPr>
          <w:rFonts w:ascii="Times New Roman" w:hAnsi="Times New Roman" w:eastAsia="Arial CYR" w:cs="Times New Roman"/>
          <w:sz w:val="24"/>
          <w:szCs w:val="24"/>
        </w:rPr>
        <w:t>Адрес земельных) участков, на которых осуществляется</w:t>
      </w:r>
      <w:r>
        <w:rPr>
          <w:rFonts w:ascii="Times New Roman" w:hAnsi="Times New Roman" w:eastAsia="Arial CYR"/>
          <w:sz w:val="24"/>
          <w:szCs w:val="24"/>
        </w:rPr>
        <w:t xml:space="preserve"> строительство: </w:t>
      </w:r>
      <w:r>
        <w:rPr>
          <w:rFonts w:ascii="Times New Roman" w:hAnsi="Times New Roman" w:eastAsia="Arial CYR" w:cs="Times New Roman"/>
          <w:bCs/>
          <w:sz w:val="24"/>
          <w:szCs w:val="24"/>
          <w:lang w:eastAsia="ar-SA"/>
        </w:rPr>
        <w:t>Российская Федерация, Краснодарский край, Красноармейский район, Марьянское сельское поселение, станица Марьянская, ул. Минометчиков</w:t>
      </w:r>
      <w:r>
        <w:rPr>
          <w:rFonts w:ascii="Times New Roman" w:hAnsi="Times New Roman" w:eastAsia="Arial CYR"/>
          <w:sz w:val="24"/>
          <w:szCs w:val="24"/>
          <w:lang w:eastAsia="ar-SA"/>
        </w:rPr>
        <w:t>.</w:t>
      </w:r>
    </w:p>
    <w:p w14:paraId="5E37B6A1">
      <w:pPr>
        <w:spacing w:after="0" w:line="240" w:lineRule="auto"/>
        <w:ind w:firstLine="709"/>
        <w:jc w:val="both"/>
        <w:rPr>
          <w:rFonts w:ascii="Times New Roman" w:hAnsi="Times New Roman" w:eastAsia="Arial CYR" w:cs="Times New Roman"/>
          <w:sz w:val="24"/>
          <w:szCs w:val="24"/>
          <w:lang w:eastAsia="ru-RU"/>
        </w:rPr>
      </w:pPr>
      <w:bookmarkStart w:id="4" w:name="_Hlk516340405"/>
      <w:bookmarkStart w:id="5" w:name="_Hlk527371052"/>
      <w:bookmarkStart w:id="6" w:name="_Hlk527373803"/>
      <w:bookmarkStart w:id="7" w:name="_Hlk527373947"/>
      <w:bookmarkStart w:id="8" w:name="_Hlk1392666"/>
      <w:bookmarkStart w:id="9" w:name="_Hlk14190913"/>
      <w:bookmarkStart w:id="10" w:name="_Hlk527373841"/>
      <w:bookmarkStart w:id="11" w:name="_Hlk527388878"/>
      <w:r>
        <w:rPr>
          <w:rFonts w:ascii="Times New Roman" w:hAnsi="Times New Roman" w:eastAsia="Arial CYR" w:cs="Times New Roman"/>
          <w:bCs/>
          <w:spacing w:val="-2"/>
          <w:sz w:val="24"/>
          <w:szCs w:val="24"/>
        </w:rPr>
        <w:t>К</w:t>
      </w:r>
      <w:r>
        <w:rPr>
          <w:rFonts w:ascii="Times New Roman" w:hAnsi="Times New Roman" w:eastAsia="Arial CYR" w:cs="Times New Roman"/>
          <w:sz w:val="24"/>
          <w:szCs w:val="24"/>
          <w:lang w:eastAsia="ar-SA"/>
        </w:rPr>
        <w:t xml:space="preserve">адастровые номера земельных </w:t>
      </w:r>
      <w:r>
        <w:rPr>
          <w:rFonts w:ascii="Times New Roman" w:hAnsi="Times New Roman" w:eastAsia="Arial CYR" w:cs="Times New Roman"/>
          <w:sz w:val="24"/>
          <w:szCs w:val="24"/>
        </w:rPr>
        <w:t xml:space="preserve">участков - </w:t>
      </w:r>
      <w:r>
        <w:rPr>
          <w:rFonts w:ascii="Times New Roman" w:hAnsi="Times New Roman" w:eastAsia="Arial CYR" w:cs="Times New Roman"/>
          <w:sz w:val="24"/>
          <w:szCs w:val="24"/>
          <w:lang w:eastAsia="ru-RU"/>
        </w:rPr>
        <w:t>23:13:1001187:1490, 23:13:1001187:1491, 23:13:1001187:1492, 23:13:1001187:1493, 23:13:1001187:1494, 23:13:1001187:1495</w:t>
      </w:r>
    </w:p>
    <w:p w14:paraId="1A661FE6">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bCs/>
          <w:spacing w:val="-2"/>
          <w:sz w:val="24"/>
          <w:szCs w:val="24"/>
        </w:rPr>
        <w:t xml:space="preserve">Площадь земельных участков </w:t>
      </w:r>
      <w:r>
        <w:rPr>
          <w:rFonts w:ascii="Times New Roman" w:hAnsi="Times New Roman" w:eastAsia="Arial CYR" w:cs="Times New Roman"/>
          <w:sz w:val="24"/>
          <w:szCs w:val="24"/>
          <w:lang w:eastAsia="ar-SA"/>
        </w:rPr>
        <w:t>82 785 кв.м.</w:t>
      </w:r>
      <w:bookmarkEnd w:id="4"/>
    </w:p>
    <w:p w14:paraId="37BBC442">
      <w:pPr>
        <w:spacing w:after="0" w:line="240" w:lineRule="auto"/>
        <w:ind w:firstLine="709"/>
        <w:jc w:val="both"/>
        <w:rPr>
          <w:rFonts w:ascii="Times New Roman" w:hAnsi="Times New Roman" w:cs="Times New Roman"/>
          <w:bCs/>
          <w:spacing w:val="-2"/>
          <w:sz w:val="24"/>
          <w:szCs w:val="24"/>
        </w:rPr>
      </w:pPr>
      <w:r>
        <w:rPr>
          <w:rFonts w:ascii="Times New Roman" w:hAnsi="Times New Roman" w:eastAsia="Arial CYR" w:cs="Times New Roman"/>
          <w:sz w:val="24"/>
          <w:szCs w:val="24"/>
          <w:lang w:eastAsia="ar-SA"/>
        </w:rPr>
        <w:t>Основания владения земельными участками</w:t>
      </w:r>
      <w:r>
        <w:rPr>
          <w:rFonts w:ascii="Times New Roman" w:hAnsi="Times New Roman" w:cs="Times New Roman"/>
          <w:bCs/>
          <w:spacing w:val="-2"/>
          <w:sz w:val="24"/>
          <w:szCs w:val="24"/>
        </w:rPr>
        <w:t xml:space="preserve"> - Договор субаренды земельного участка от 06.12.2022 г., на основании чего Управлением Федеральной службы государственной регистрации, кадастра и картографии по Краснодарскому краю 16.12.2022 г., в Едином государственном реестре недвижимости сделана запись о регистрации права собственности № 23:13:1001187:1491-23/266/2022-4. Договор субаренды земельного участка от 06.12.2022 г., на основании чего Управлением Федеральной службы государственной регистрации, кадастра и картографии по Краснодарскому краю 16.12.2022 г., в Едином государственном реестре недвижимости сделана запись о регистрации права собственности № 23:13:1001187:1490-23/266/2022-4. Договор субаренды земельного участка от 06.12.2022 г., на основании чего Управлением Федеральной службы государственной регистрации, кадастра и картографии по Краснодарскому краю 20.12.2022 г., в Едином государственном реестре недвижимости сделана запись о регистрации права собственности № 23:13:1001187:1492-23/266/2022-4. Договор субаренды земельного участка от 06.12.2022 г., на основании чего Управлением Федеральной службы государственной регистрации, кадастра и картографии по Краснодарскому краю 20.12.2022 г., в Едином государственном реестре недвижимости сделана запись о регистрации права собственности № 23:13:1001187:1493-23/266/2022-4. Договор субаренды земельного участка от 06.12.2022 г., на основании чего Управлением Федеральной службы государственной регистрации, кадастра и картографии по Краснодарскому краю 19.12.2022 г., в Едином государственном реестре недвижимости сделана запись о регистрации права собственности № 23:13:1001187:1494-23/266/2022-4. Договор субаренды земельного участка от 06.12.2022 г., на основании чего Управлением Федеральной службы государственной регистрации, кадастра и картографии по Краснодарскому краю 20.12.2022 г., в Едином государственном реестре недвижимости сделана запись о регистрации права собственности № 23:13:1001187:1495-23/266/2022-4. </w:t>
      </w:r>
    </w:p>
    <w:bookmarkEnd w:id="5"/>
    <w:bookmarkEnd w:id="6"/>
    <w:bookmarkEnd w:id="7"/>
    <w:bookmarkEnd w:id="8"/>
    <w:p w14:paraId="228E9116">
      <w:pPr>
        <w:pStyle w:val="184"/>
        <w:ind w:firstLine="709"/>
        <w:rPr>
          <w:lang w:eastAsia="ar-SA"/>
        </w:rPr>
      </w:pPr>
      <w:r>
        <w:rPr>
          <w:lang w:eastAsia="ar-SA"/>
        </w:rPr>
        <w:t xml:space="preserve">Условия привлечения денежных средств участников долевого строительства: </w:t>
      </w:r>
      <w:bookmarkEnd w:id="9"/>
      <w:r>
        <w:rPr>
          <w:lang w:eastAsia="ar-SA"/>
        </w:rPr>
        <w:t>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260AC2B">
      <w:pPr>
        <w:pStyle w:val="184"/>
        <w:ind w:firstLine="709"/>
        <w:rPr>
          <w:lang w:eastAsia="ar-SA"/>
        </w:rPr>
      </w:pPr>
      <w:r>
        <w:rPr>
          <w:lang w:eastAsia="ar-SA"/>
        </w:rPr>
        <w:t>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 8-800-200-57-03.</w:t>
      </w:r>
      <w:bookmarkEnd w:id="10"/>
      <w:bookmarkEnd w:id="11"/>
    </w:p>
    <w:p w14:paraId="61B9C9C8">
      <w:pPr>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1.3. Объект долевого строительства - нежилое помещение находящиеся в Объекте капитального строительства, а именно:</w:t>
      </w:r>
    </w:p>
    <w:p w14:paraId="2F7EE788">
      <w:pPr>
        <w:spacing w:after="0" w:line="240" w:lineRule="auto"/>
        <w:ind w:firstLine="709"/>
        <w:jc w:val="both"/>
        <w:rPr>
          <w:rFonts w:ascii="Times New Roman" w:hAnsi="Times New Roman" w:eastAsia="Arial CYR" w:cs="Times New Roman"/>
          <w:b/>
          <w:sz w:val="24"/>
          <w:szCs w:val="24"/>
          <w:lang w:eastAsia="ar-SA"/>
        </w:rPr>
      </w:pPr>
      <w:r>
        <w:rPr>
          <w:rFonts w:ascii="Times New Roman" w:hAnsi="Times New Roman" w:eastAsia="Arial CYR" w:cs="Times New Roman"/>
          <w:b/>
          <w:sz w:val="24"/>
          <w:szCs w:val="24"/>
          <w:lang w:eastAsia="ar-SA"/>
        </w:rPr>
        <w:t xml:space="preserve">Нежилое помещение № </w:t>
      </w:r>
      <w:bookmarkStart w:id="12" w:name="_Hlk14195798"/>
      <w:r>
        <w:rPr>
          <w:b/>
          <w:lang w:eastAsia="ar-SA"/>
        </w:rPr>
        <w:fldChar w:fldCharType="begin"/>
      </w:r>
      <w:bookmarkStart w:id="13" w:name="ТекстовоеПоле45"/>
      <w:r>
        <w:rPr>
          <w:b/>
          <w:lang w:eastAsia="ar-SA"/>
        </w:rPr>
        <w:instrText xml:space="preserve"> FORMTEXT </w:instrText>
      </w:r>
      <w:r>
        <w:rPr>
          <w:b/>
          <w:lang w:eastAsia="ar-SA"/>
        </w:rPr>
        <w:fldChar w:fldCharType="separate"/>
      </w:r>
      <w:r>
        <w:rPr>
          <w:b/>
          <w:lang w:eastAsia="ar-SA"/>
        </w:rPr>
        <w:t>_____</w:t>
      </w:r>
      <w:r>
        <w:rPr>
          <w:b/>
          <w:lang w:eastAsia="ar-SA"/>
        </w:rPr>
        <w:fldChar w:fldCharType="end"/>
      </w:r>
      <w:bookmarkEnd w:id="12"/>
      <w:bookmarkEnd w:id="13"/>
      <w:r>
        <w:rPr>
          <w:rFonts w:ascii="Times New Roman" w:hAnsi="Times New Roman" w:eastAsia="Arial CYR" w:cs="Times New Roman"/>
          <w:b/>
          <w:sz w:val="24"/>
          <w:szCs w:val="24"/>
          <w:lang w:eastAsia="ar-SA"/>
        </w:rPr>
        <w:t>, расположенное на этаже -</w:t>
      </w:r>
      <w:r>
        <w:rPr>
          <w:b/>
          <w:lang w:eastAsia="ar-SA"/>
        </w:rPr>
        <w:fldChar w:fldCharType="begin"/>
      </w:r>
      <w:r>
        <w:rPr>
          <w:b/>
          <w:lang w:eastAsia="ar-SA"/>
        </w:rPr>
        <w:instrText xml:space="preserve"> FORMTEXT </w:instrText>
      </w:r>
      <w:r>
        <w:rPr>
          <w:b/>
          <w:lang w:eastAsia="ar-SA"/>
        </w:rPr>
        <w:fldChar w:fldCharType="separate"/>
      </w:r>
      <w:r>
        <w:rPr>
          <w:b/>
          <w:lang w:eastAsia="ar-SA"/>
        </w:rPr>
        <w:t>_____</w:t>
      </w:r>
      <w:r>
        <w:rPr>
          <w:b/>
          <w:lang w:eastAsia="ar-SA"/>
        </w:rPr>
        <w:fldChar w:fldCharType="end"/>
      </w:r>
      <w:r>
        <w:rPr>
          <w:rFonts w:ascii="Times New Roman" w:hAnsi="Times New Roman" w:eastAsia="Arial CYR" w:cs="Times New Roman"/>
          <w:b/>
          <w:sz w:val="24"/>
          <w:szCs w:val="24"/>
          <w:lang w:eastAsia="ar-SA"/>
        </w:rPr>
        <w:t>, Проектная общая площадь помещения –</w:t>
      </w:r>
      <w:r>
        <w:rPr>
          <w:b/>
          <w:lang w:eastAsia="ar-SA"/>
        </w:rPr>
        <w:fldChar w:fldCharType="begin"/>
      </w:r>
      <w:r>
        <w:rPr>
          <w:b/>
          <w:lang w:eastAsia="ar-SA"/>
        </w:rPr>
        <w:instrText xml:space="preserve"> FORMTEXT </w:instrText>
      </w:r>
      <w:r>
        <w:rPr>
          <w:b/>
          <w:lang w:eastAsia="ar-SA"/>
        </w:rPr>
        <w:fldChar w:fldCharType="separate"/>
      </w:r>
      <w:r>
        <w:rPr>
          <w:b/>
          <w:lang w:eastAsia="ar-SA"/>
        </w:rPr>
        <w:t>_____</w:t>
      </w:r>
      <w:r>
        <w:rPr>
          <w:b/>
          <w:lang w:eastAsia="ar-SA"/>
        </w:rPr>
        <w:fldChar w:fldCharType="end"/>
      </w:r>
      <w:r>
        <w:rPr>
          <w:b/>
          <w:lang w:eastAsia="ar-SA"/>
        </w:rPr>
        <w:t xml:space="preserve"> </w:t>
      </w:r>
      <w:r>
        <w:rPr>
          <w:rFonts w:ascii="Times New Roman" w:hAnsi="Times New Roman" w:eastAsia="Arial CYR" w:cs="Times New Roman"/>
          <w:b/>
          <w:sz w:val="24"/>
          <w:szCs w:val="24"/>
          <w:lang w:eastAsia="ar-SA"/>
        </w:rPr>
        <w:t>кв.м.</w:t>
      </w:r>
    </w:p>
    <w:p w14:paraId="32851922">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План и расположение по отношению друг к другу частей Объекта долевого строительства указаны в Приложении № 1 к настоящему договору, являющемся его неотъемлемой частью.</w:t>
      </w:r>
    </w:p>
    <w:p w14:paraId="37220731">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Местоположение Объекта долевого строительства на этаже Объекта капитального строительства, его назначение, проектная общая площадь, количество и площадь помещений вспомогательного использования, а также технические характеристики элементов внутренней отделки и комплектации Объекта долевого строительства указаны в Приложении № 2 к настоящему договору, являющемся его неотъемлемой частью.</w:t>
      </w:r>
    </w:p>
    <w:p w14:paraId="38D8A78F">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1.4. Окончательная площадь и номер Объекта долевого строительства определяется после получения разрешения на ввод </w:t>
      </w:r>
      <w:r>
        <w:rPr>
          <w:rFonts w:ascii="Times New Roman" w:hAnsi="Times New Roman" w:cs="Times New Roman"/>
          <w:sz w:val="24"/>
          <w:szCs w:val="24"/>
          <w:lang w:eastAsia="ar-SA"/>
        </w:rPr>
        <w:t>Объекта капитального строительства</w:t>
      </w:r>
      <w:r>
        <w:rPr>
          <w:rFonts w:ascii="Times New Roman" w:hAnsi="Times New Roman" w:eastAsia="Arial CYR" w:cs="Times New Roman"/>
          <w:sz w:val="24"/>
          <w:szCs w:val="24"/>
          <w:lang w:eastAsia="ar-SA"/>
        </w:rPr>
        <w:t xml:space="preserve"> в эксплуатацию по данным, предоставленным организациями по технической инвентаризации либо кадастровым инженером и будет указана в Акте приема-передачи или ином документе о передаче Объекта долевого строительства. После присвоения административного адреса, номер и адрес </w:t>
      </w:r>
      <w:r>
        <w:rPr>
          <w:rFonts w:ascii="Times New Roman" w:hAnsi="Times New Roman" w:cs="Times New Roman"/>
          <w:sz w:val="24"/>
          <w:szCs w:val="24"/>
          <w:lang w:eastAsia="ar-SA"/>
        </w:rPr>
        <w:t>Объекта капитального строительства</w:t>
      </w:r>
      <w:r>
        <w:rPr>
          <w:rFonts w:ascii="Times New Roman" w:hAnsi="Times New Roman" w:eastAsia="Arial CYR" w:cs="Times New Roman"/>
          <w:sz w:val="24"/>
          <w:szCs w:val="24"/>
          <w:lang w:eastAsia="ar-SA"/>
        </w:rPr>
        <w:t xml:space="preserve"> могут измениться и будут указаны в Акте приема-передачи или ином документе о передаче Объекта долевого строительства.</w:t>
      </w:r>
    </w:p>
    <w:p w14:paraId="6AA0E4B3">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Объект долевого строительства подлежит передаче Участнику долевого строительства после получения разрешения на ввод в эксплуатацию </w:t>
      </w:r>
      <w:r>
        <w:rPr>
          <w:rFonts w:ascii="Times New Roman" w:hAnsi="Times New Roman" w:cs="Times New Roman"/>
          <w:sz w:val="24"/>
          <w:szCs w:val="24"/>
          <w:lang w:eastAsia="ar-SA"/>
        </w:rPr>
        <w:t>Объекта капитального строительства</w:t>
      </w:r>
      <w:r>
        <w:rPr>
          <w:rFonts w:ascii="Times New Roman" w:hAnsi="Times New Roman" w:eastAsia="Arial CYR" w:cs="Times New Roman"/>
          <w:sz w:val="24"/>
          <w:szCs w:val="24"/>
          <w:lang w:eastAsia="ar-SA"/>
        </w:rPr>
        <w:t xml:space="preserve"> и входит в состав указанного </w:t>
      </w:r>
      <w:r>
        <w:rPr>
          <w:rFonts w:ascii="Times New Roman" w:hAnsi="Times New Roman" w:cs="Times New Roman"/>
          <w:sz w:val="24"/>
          <w:szCs w:val="24"/>
          <w:lang w:eastAsia="ar-SA"/>
        </w:rPr>
        <w:t>Объекта капитального строительства</w:t>
      </w:r>
      <w:r>
        <w:rPr>
          <w:rFonts w:ascii="Times New Roman" w:hAnsi="Times New Roman" w:eastAsia="Arial CYR" w:cs="Times New Roman"/>
          <w:sz w:val="24"/>
          <w:szCs w:val="24"/>
          <w:lang w:eastAsia="ar-SA"/>
        </w:rPr>
        <w:t xml:space="preserve">. </w:t>
      </w:r>
    </w:p>
    <w:p w14:paraId="3972995E">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1.5. Участник долевого строительства – физическое либо юридическое лицо</w:t>
      </w:r>
      <w:r>
        <w:rPr>
          <w:rFonts w:ascii="Times New Roman" w:hAnsi="Times New Roman" w:eastAsia="Lucida Sans Unicode" w:cs="Times New Roman"/>
          <w:color w:val="000000"/>
          <w:sz w:val="24"/>
          <w:szCs w:val="24"/>
        </w:rPr>
        <w:t>,</w:t>
      </w:r>
      <w:r>
        <w:rPr>
          <w:rFonts w:ascii="Times New Roman" w:hAnsi="Times New Roman" w:eastAsia="Arial CYR" w:cs="Times New Roman"/>
          <w:sz w:val="24"/>
          <w:szCs w:val="24"/>
          <w:lang w:eastAsia="ar-SA"/>
        </w:rPr>
        <w:t xml:space="preserve"> участвующее в долевом строительстве </w:t>
      </w:r>
      <w:r>
        <w:rPr>
          <w:rFonts w:ascii="Times New Roman" w:hAnsi="Times New Roman" w:cs="Times New Roman"/>
          <w:sz w:val="24"/>
          <w:szCs w:val="24"/>
          <w:lang w:eastAsia="ar-SA"/>
        </w:rPr>
        <w:t>Объекта капитального строительства</w:t>
      </w:r>
      <w:r>
        <w:rPr>
          <w:rFonts w:ascii="Times New Roman" w:hAnsi="Times New Roman" w:eastAsia="Arial CYR" w:cs="Times New Roman"/>
          <w:sz w:val="24"/>
          <w:szCs w:val="24"/>
          <w:lang w:eastAsia="ar-SA"/>
        </w:rPr>
        <w:t xml:space="preserve"> на условиях настоящего договора. </w:t>
      </w:r>
    </w:p>
    <w:p w14:paraId="7C728C07">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16. При заключении настоящего Договора Застройщик подтверждает свои права на привлечение денежных средств Участника долевого строительства, документами, указанными в настоящем разделе, в том числе:</w:t>
      </w:r>
    </w:p>
    <w:p w14:paraId="5172E36D">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 Проектной декларацией, которая включает в себя информацию о застройщике и информацию о проекте строительства. Оригинал проектной декларации хранит Застройщик. </w:t>
      </w:r>
      <w:bookmarkStart w:id="14" w:name="_Hlk14196175"/>
      <w:r>
        <w:rPr>
          <w:rFonts w:ascii="Times New Roman" w:hAnsi="Times New Roman" w:eastAsia="Arial CYR" w:cs="Times New Roman"/>
          <w:sz w:val="24"/>
          <w:szCs w:val="24"/>
          <w:lang w:eastAsia="ar-SA"/>
        </w:rPr>
        <w:t>Проектная декларация размещена Застройщиком в Единой информационной системе жилищного строительства</w:t>
      </w:r>
      <w:r>
        <w:t xml:space="preserve"> </w:t>
      </w:r>
      <w:r>
        <w:rPr>
          <w:rFonts w:ascii="Times New Roman" w:hAnsi="Times New Roman" w:eastAsia="Arial CYR" w:cs="Times New Roman"/>
          <w:sz w:val="24"/>
          <w:szCs w:val="24"/>
          <w:lang w:eastAsia="ar-SA"/>
        </w:rPr>
        <w:t xml:space="preserve">на сайте </w:t>
      </w:r>
      <w:r>
        <w:fldChar w:fldCharType="begin"/>
      </w:r>
      <w:r>
        <w:instrText xml:space="preserve"> HYPERLINK "https://наш.дом.рф" </w:instrText>
      </w:r>
      <w:r>
        <w:fldChar w:fldCharType="separate"/>
      </w:r>
      <w:r>
        <w:rPr>
          <w:rStyle w:val="16"/>
          <w:rFonts w:ascii="Times New Roman" w:hAnsi="Times New Roman" w:eastAsia="Arial CYR" w:cs="Times New Roman"/>
          <w:sz w:val="24"/>
          <w:szCs w:val="24"/>
          <w:lang w:eastAsia="ar-SA"/>
        </w:rPr>
        <w:t>https://наш.дом.рф</w:t>
      </w:r>
      <w:r>
        <w:rPr>
          <w:rStyle w:val="16"/>
          <w:rFonts w:ascii="Times New Roman" w:hAnsi="Times New Roman" w:eastAsia="Arial CYR" w:cs="Times New Roman"/>
          <w:sz w:val="24"/>
          <w:szCs w:val="24"/>
          <w:lang w:eastAsia="ar-SA"/>
        </w:rPr>
        <w:fldChar w:fldCharType="end"/>
      </w:r>
      <w:r>
        <w:rPr>
          <w:rFonts w:ascii="Times New Roman" w:hAnsi="Times New Roman" w:eastAsia="Arial CYR" w:cs="Times New Roman"/>
          <w:sz w:val="24"/>
          <w:szCs w:val="24"/>
          <w:lang w:eastAsia="ar-SA"/>
        </w:rPr>
        <w:t xml:space="preserve"> /. </w:t>
      </w:r>
      <w:bookmarkEnd w:id="14"/>
    </w:p>
    <w:p w14:paraId="3F8BA23E">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1.7.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лицензии, разрешения на строительство и (или) иные документы, и (или) договоры от соответствующих и уполномоченных на их предоставление государственных органов (лиц) Застройщиком получены (заключены), являются юридически действительными и вступившими в силу.</w:t>
      </w:r>
    </w:p>
    <w:p w14:paraId="6ADBEF99">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Застройщик гарантирует Участнику долевого строительства, что на момент подписания Сторонами настоящего Договора права на Объект долевого строительства, указанный в п. 1.3. Договора, никому не переданы, не заложены, предметом судебного спора не являются.</w:t>
      </w:r>
    </w:p>
    <w:p w14:paraId="1283C0F0">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1.8. Отношения Застройщика и Участника долевого строительства, не урегулированные настоящим договором, регламентируются Гражданским кодексом Российской Федерации,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38D7081">
      <w:pPr>
        <w:spacing w:after="0" w:line="240" w:lineRule="auto"/>
        <w:ind w:firstLine="709"/>
        <w:jc w:val="both"/>
        <w:rPr>
          <w:rFonts w:ascii="Times New Roman" w:hAnsi="Times New Roman" w:eastAsia="Arial CYR" w:cs="Times New Roman"/>
          <w:sz w:val="24"/>
          <w:szCs w:val="24"/>
          <w:lang w:eastAsia="ar-SA"/>
        </w:rPr>
      </w:pPr>
      <w:bookmarkStart w:id="15" w:name="_Hlk14196413"/>
      <w:r>
        <w:rPr>
          <w:rFonts w:ascii="Times New Roman" w:hAnsi="Times New Roman" w:eastAsia="Arial CYR" w:cs="Times New Roman"/>
          <w:sz w:val="24"/>
          <w:szCs w:val="24"/>
          <w:lang w:eastAsia="ar-SA"/>
        </w:rPr>
        <w:t xml:space="preserve">1.9. </w:t>
      </w:r>
      <w:bookmarkStart w:id="16" w:name="_Hlk14191116"/>
      <w:r>
        <w:rPr>
          <w:rFonts w:ascii="Times New Roman" w:hAnsi="Times New Roman" w:eastAsia="Arial CYR" w:cs="Times New Roman"/>
          <w:sz w:val="24"/>
          <w:szCs w:val="24"/>
          <w:lang w:eastAsia="ar-SA"/>
        </w:rPr>
        <w:t>Участник долевого строительства подтверждает, что до подписания настоящего договора Застройщик предоставил Участнику долевого строительства необходимую информацию о Застройщике и проекте строительства в объеме сведений, определенных федеральным законодательством Российской Федерации, а также ознакомил Участника долевого строительства с документами и их содержанием, указанными в настоящем разделе, предоставил возможность ознакомиться с проектной документацией.</w:t>
      </w:r>
    </w:p>
    <w:p w14:paraId="67E711D2">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1.10. В соответствии с ч. 1 ст. 3.1 Закона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осуществляет раскрытие информации, предусмотренной Законом № 214-ФЗ от 30.12.2004 г., путем ее размещения в единой информационной системе жилищного строительства (адрес сайта </w:t>
      </w:r>
      <w:r>
        <w:fldChar w:fldCharType="begin"/>
      </w:r>
      <w:r>
        <w:instrText xml:space="preserve"> HYPERLINK "https://наш.дом.рф" </w:instrText>
      </w:r>
      <w:r>
        <w:fldChar w:fldCharType="separate"/>
      </w:r>
      <w:r>
        <w:rPr>
          <w:rStyle w:val="16"/>
          <w:rFonts w:ascii="Times New Roman" w:hAnsi="Times New Roman" w:eastAsia="Arial CYR" w:cs="Times New Roman"/>
          <w:sz w:val="24"/>
          <w:szCs w:val="24"/>
          <w:lang w:eastAsia="ar-SA"/>
        </w:rPr>
        <w:t>https://наш.дом.рф</w:t>
      </w:r>
      <w:r>
        <w:rPr>
          <w:rStyle w:val="16"/>
          <w:rFonts w:ascii="Times New Roman" w:hAnsi="Times New Roman" w:eastAsia="Arial CYR" w:cs="Times New Roman"/>
          <w:sz w:val="24"/>
          <w:szCs w:val="24"/>
          <w:lang w:eastAsia="ar-SA"/>
        </w:rPr>
        <w:fldChar w:fldCharType="end"/>
      </w:r>
      <w:r>
        <w:rPr>
          <w:rFonts w:ascii="Times New Roman" w:hAnsi="Times New Roman" w:eastAsia="Arial CYR" w:cs="Times New Roman"/>
          <w:sz w:val="24"/>
          <w:szCs w:val="24"/>
          <w:lang w:eastAsia="ar-SA"/>
        </w:rPr>
        <w:t xml:space="preserve"> /).</w:t>
      </w:r>
      <w:bookmarkEnd w:id="15"/>
      <w:bookmarkEnd w:id="16"/>
    </w:p>
    <w:p w14:paraId="26A390BD">
      <w:pPr>
        <w:spacing w:after="0" w:line="240" w:lineRule="auto"/>
        <w:ind w:firstLine="426"/>
        <w:jc w:val="center"/>
        <w:rPr>
          <w:rFonts w:ascii="Times New Roman" w:hAnsi="Times New Roman" w:eastAsia="Calibri" w:cs="Times New Roman"/>
          <w:b/>
          <w:sz w:val="24"/>
          <w:szCs w:val="24"/>
          <w:lang w:eastAsia="ar-SA"/>
        </w:rPr>
      </w:pPr>
      <w:r>
        <w:rPr>
          <w:rFonts w:ascii="Times New Roman" w:hAnsi="Times New Roman" w:eastAsia="Calibri" w:cs="Times New Roman"/>
          <w:b/>
          <w:sz w:val="24"/>
          <w:szCs w:val="24"/>
          <w:lang w:eastAsia="ar-SA"/>
        </w:rPr>
        <w:t>2. ПРЕДМЕТ ДОГОВОРА</w:t>
      </w:r>
    </w:p>
    <w:p w14:paraId="6BF46844">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2.1. По настоящему договору Застройщик обязуется в предусмотренный договором срок своими силами и (или) с привлечением других лиц построить (создать) </w:t>
      </w:r>
      <w:r>
        <w:rPr>
          <w:rFonts w:ascii="Times New Roman" w:hAnsi="Times New Roman" w:cs="Times New Roman"/>
          <w:sz w:val="24"/>
          <w:szCs w:val="24"/>
          <w:lang w:eastAsia="ar-SA"/>
        </w:rPr>
        <w:t xml:space="preserve">Объект капитального строительства </w:t>
      </w:r>
      <w:r>
        <w:rPr>
          <w:rFonts w:ascii="Times New Roman" w:hAnsi="Times New Roman" w:eastAsia="Arial CYR" w:cs="Times New Roman"/>
          <w:sz w:val="24"/>
          <w:szCs w:val="24"/>
          <w:lang w:eastAsia="ar-SA"/>
        </w:rPr>
        <w:t xml:space="preserve">и, после получения разрешения на ввод в эксплуатацию </w:t>
      </w:r>
      <w:r>
        <w:rPr>
          <w:rFonts w:ascii="Times New Roman" w:hAnsi="Times New Roman" w:cs="Times New Roman"/>
          <w:sz w:val="24"/>
          <w:szCs w:val="24"/>
          <w:lang w:eastAsia="ar-SA"/>
        </w:rPr>
        <w:t>Объекта капитального строительства</w:t>
      </w:r>
      <w:r>
        <w:rPr>
          <w:rFonts w:ascii="Times New Roman" w:hAnsi="Times New Roman" w:eastAsia="Arial CYR" w:cs="Times New Roman"/>
          <w:sz w:val="24"/>
          <w:szCs w:val="24"/>
          <w:lang w:eastAsia="ar-SA"/>
        </w:rPr>
        <w:t xml:space="preserve">, при условии выполнения Участником долевого строительства условия об оплате Цены договора, передать Участнику долевого строительства Объект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w:t>
      </w:r>
      <w:r>
        <w:rPr>
          <w:rFonts w:ascii="Times New Roman" w:hAnsi="Times New Roman" w:cs="Times New Roman"/>
          <w:sz w:val="24"/>
          <w:szCs w:val="24"/>
          <w:lang w:eastAsia="ar-SA"/>
        </w:rPr>
        <w:t>Объекта капитального строительства</w:t>
      </w:r>
      <w:r>
        <w:rPr>
          <w:rFonts w:ascii="Times New Roman" w:hAnsi="Times New Roman" w:eastAsia="Arial CYR" w:cs="Times New Roman"/>
          <w:sz w:val="24"/>
          <w:szCs w:val="24"/>
          <w:lang w:eastAsia="ar-SA"/>
        </w:rPr>
        <w:t>.</w:t>
      </w:r>
    </w:p>
    <w:p w14:paraId="1A50EF18">
      <w:pPr>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 xml:space="preserve">Предполагаемый срок получения разрешения на ввод объекта в эксплуатацию – </w:t>
      </w:r>
      <w:bookmarkStart w:id="17" w:name="_Hlk527374124"/>
      <w:r>
        <w:rPr>
          <w:rFonts w:hint="default" w:ascii="Times New Roman" w:hAnsi="Times New Roman" w:cs="Times New Roman"/>
          <w:b/>
          <w:bCs/>
          <w:sz w:val="24"/>
          <w:szCs w:val="24"/>
          <w:lang w:val="ru-RU"/>
        </w:rPr>
        <w:t>3</w:t>
      </w:r>
      <w:r>
        <w:rPr>
          <w:rFonts w:ascii="Times New Roman" w:hAnsi="Times New Roman" w:cs="Times New Roman"/>
          <w:b/>
          <w:bCs/>
          <w:sz w:val="24"/>
          <w:szCs w:val="24"/>
        </w:rPr>
        <w:t> квартал 202</w:t>
      </w:r>
      <w:r>
        <w:rPr>
          <w:rFonts w:hint="default" w:ascii="Times New Roman" w:hAnsi="Times New Roman" w:cs="Times New Roman"/>
          <w:b/>
          <w:bCs/>
          <w:sz w:val="24"/>
          <w:szCs w:val="24"/>
          <w:lang w:val="ru-RU"/>
        </w:rPr>
        <w:t>6</w:t>
      </w:r>
      <w:r>
        <w:rPr>
          <w:rFonts w:ascii="Times New Roman" w:hAnsi="Times New Roman" w:cs="Times New Roman"/>
          <w:b/>
          <w:bCs/>
          <w:sz w:val="24"/>
          <w:szCs w:val="24"/>
        </w:rPr>
        <w:t xml:space="preserve"> года, но не позднее 3</w:t>
      </w:r>
      <w:r>
        <w:rPr>
          <w:rFonts w:hint="default" w:ascii="Times New Roman" w:hAnsi="Times New Roman" w:cs="Times New Roman"/>
          <w:b/>
          <w:bCs/>
          <w:sz w:val="24"/>
          <w:szCs w:val="24"/>
          <w:lang w:val="ru-RU"/>
        </w:rPr>
        <w:t>0</w:t>
      </w:r>
      <w:r>
        <w:rPr>
          <w:rFonts w:ascii="Times New Roman" w:hAnsi="Times New Roman" w:cs="Times New Roman"/>
          <w:b/>
          <w:bCs/>
          <w:sz w:val="24"/>
          <w:szCs w:val="24"/>
        </w:rPr>
        <w:t>.</w:t>
      </w:r>
      <w:r>
        <w:rPr>
          <w:rFonts w:hint="default" w:ascii="Times New Roman" w:hAnsi="Times New Roman" w:cs="Times New Roman"/>
          <w:b/>
          <w:bCs/>
          <w:sz w:val="24"/>
          <w:szCs w:val="24"/>
          <w:lang w:val="ru-RU"/>
        </w:rPr>
        <w:t>09</w:t>
      </w:r>
      <w:r>
        <w:rPr>
          <w:rFonts w:ascii="Times New Roman" w:hAnsi="Times New Roman" w:cs="Times New Roman"/>
          <w:b/>
          <w:bCs/>
          <w:sz w:val="24"/>
          <w:szCs w:val="24"/>
        </w:rPr>
        <w:t>.202</w:t>
      </w:r>
      <w:r>
        <w:rPr>
          <w:rFonts w:hint="default" w:ascii="Times New Roman" w:hAnsi="Times New Roman" w:cs="Times New Roman"/>
          <w:b/>
          <w:bCs/>
          <w:sz w:val="24"/>
          <w:szCs w:val="24"/>
          <w:lang w:val="ru-RU"/>
        </w:rPr>
        <w:t>6</w:t>
      </w:r>
      <w:r>
        <w:rPr>
          <w:rFonts w:ascii="Times New Roman" w:hAnsi="Times New Roman" w:cs="Times New Roman"/>
          <w:b/>
          <w:bCs/>
          <w:sz w:val="24"/>
          <w:szCs w:val="24"/>
        </w:rPr>
        <w:t xml:space="preserve"> года.</w:t>
      </w:r>
    </w:p>
    <w:p w14:paraId="2DF11EE5">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Указанный срок является плановым и может быть сокращен по решению Застройщика или увеличен в порядке, установленном действующим законодательством, что не влияет на срок передачи Застройщиком Объекта долевого строительства Участнику долевого строительства, но в любом случае указанный срок не должен превышать срока, установленного п. 6.2. настоящего Договора.</w:t>
      </w:r>
      <w:r>
        <w:rPr>
          <w:rFonts w:ascii="Times New Roman" w:hAnsi="Times New Roman" w:cs="Times New Roman"/>
          <w:sz w:val="24"/>
          <w:szCs w:val="24"/>
        </w:rPr>
        <w:t xml:space="preserve"> Во избежание сомнений, Стороны подтверждают, что заключение </w:t>
      </w:r>
      <w:r>
        <w:rPr>
          <w:rFonts w:ascii="Times New Roman" w:hAnsi="Times New Roman" w:cs="Times New Roman"/>
          <w:bCs/>
          <w:sz w:val="24"/>
          <w:szCs w:val="24"/>
        </w:rPr>
        <w:t>дополнительного соглашения в данном случае не производится.</w:t>
      </w:r>
      <w:bookmarkEnd w:id="17"/>
    </w:p>
    <w:p w14:paraId="163B135B">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2.2. Настоящий договор подлежит государственной регистрации и считается заключенным с момента такой регистрации. Расходы по государственной регистрации настоящего договора, а также всех дополнительных соглашений к нему, Стороны несут совместно в размерах, установленных действующим законодательством Российской Федерации. </w:t>
      </w:r>
    </w:p>
    <w:p w14:paraId="73624D91">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Расходы по государственной регистрации права собственности Участника долевого строительства на Объект долевого строительства, включая изготовление технического и кадастрового паспортов (выписок), технического плана, оплату государственной пошлины, производятся за счет Участника долевого строительства. 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согласно законодательству РФ, является обязанностью Застройщика.</w:t>
      </w:r>
    </w:p>
    <w:p w14:paraId="1D46A6C5">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 xml:space="preserve">2.3. Услуги по оформлению права собственности Участника долевого строительства на Объект долевого строительства, в том числе по содействию в государственной регистрации настоящего договора и права собственности Участника долевого строительства могут быть оказаны Участнику долевого строительства на основании отдельного договора с Застройщиком или на основании отдельного договора с лицом, уполномоченным Застройщиком. </w:t>
      </w:r>
    </w:p>
    <w:p w14:paraId="3A78870B">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2.4. Обеспечение исполнения обязательств Застройщика по договору участия в долевом строительстве залогом в соответствии со ст. 13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 применяется.</w:t>
      </w:r>
    </w:p>
    <w:p w14:paraId="44C299CD">
      <w:pPr>
        <w:spacing w:after="0" w:line="240" w:lineRule="auto"/>
        <w:ind w:firstLine="709"/>
        <w:jc w:val="both"/>
        <w:rPr>
          <w:rFonts w:ascii="Times New Roman" w:hAnsi="Times New Roman" w:eastAsia="Arial CYR" w:cs="Times New Roman"/>
          <w:sz w:val="24"/>
          <w:szCs w:val="24"/>
          <w:lang w:eastAsia="ar-SA"/>
        </w:rPr>
      </w:pPr>
      <w:bookmarkStart w:id="18" w:name="_Hlk154045025"/>
      <w:r>
        <w:rPr>
          <w:rFonts w:ascii="Times New Roman" w:hAnsi="Times New Roman" w:eastAsia="Arial CYR" w:cs="Times New Roman"/>
          <w:sz w:val="24"/>
          <w:szCs w:val="24"/>
          <w:lang w:eastAsia="ar-SA"/>
        </w:rPr>
        <w:t>2.4.1. Участник долевого строительства уведомлен и согласен с тем, что имущество, указанное в п. 1.2. настоящего Договора (земельный участок, принадлежащий застройщику, и строящийся (создаваемый) на этом земельном участке Объект капитального строительства), находится в залоге Банка (Залогодержателя)  - Публичного акционерного общества «Сбербанк России» (сокращенное наименование ПАО Сбербанк) - Кредитора в обеспечение возврата целевого кредита, предоставленного Банком Застройщику на строительство многоквартирного дома, в состав которого входит Объект долевого строительства.</w:t>
      </w:r>
    </w:p>
    <w:bookmarkEnd w:id="18"/>
    <w:p w14:paraId="325EB383">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2.4.2. С момента передачи Участнику долевого строительства объекта долевого строительства в порядке, установленном статьей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право залога, возникшее на основании кредитного договора (договора займа), не распространяется на данный объект долевого строительства. </w:t>
      </w:r>
    </w:p>
    <w:p w14:paraId="761976D0">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Возникший на основании договора, заключенного застройщиком с уполномоченным банком, залог права аренды земельного участка, находящегося у Застройщика прекращается с момента передачи Участнику долевого строительства в порядке, установленном статьей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объектов долевого строительства в многоквартирном доме и (или) ином объекте недвижимости, построенных (созданных) на данном земельном участке.</w:t>
      </w:r>
    </w:p>
    <w:p w14:paraId="16970E44">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2.5. В соответствии со статьей 13 п.п. 6-7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земельный участок, указанный в п. 1.2. настоящего Договора, принадлежащий застройщику на праве субаренды, строящиеся (создаваемые) на этом земельном участке многоквартирный дом и (или) иной объект недвижимости находятся в залоге у Публичного акционерного общества «Сбербанк России» (сокращенное наименование ПАО Сбербанк), место нахождения: г. Москва; адрес: 117997, г. Москва, ул. Вавилова, д. 19 на основании целевого кредита </w:t>
      </w:r>
      <w:bookmarkStart w:id="19" w:name="_Hlk21427628"/>
      <w:r>
        <w:rPr>
          <w:rFonts w:ascii="Times New Roman" w:hAnsi="Times New Roman" w:eastAsia="Arial CYR" w:cs="Times New Roman"/>
          <w:sz w:val="24"/>
          <w:szCs w:val="24"/>
          <w:lang w:eastAsia="ar-SA"/>
        </w:rPr>
        <w:t>на строительство Объекта капитального строительства, указанного в п. 1.2. настоящего Договора.</w:t>
      </w:r>
      <w:bookmarkEnd w:id="19"/>
    </w:p>
    <w:p w14:paraId="3C0B0831">
      <w:pPr>
        <w:tabs>
          <w:tab w:val="left" w:pos="4635"/>
        </w:tabs>
        <w:spacing w:after="0" w:line="240" w:lineRule="auto"/>
        <w:ind w:firstLine="426"/>
        <w:jc w:val="center"/>
        <w:rPr>
          <w:rFonts w:ascii="Times New Roman" w:hAnsi="Times New Roman" w:eastAsia="Calibri" w:cs="Times New Roman"/>
          <w:b/>
          <w:sz w:val="24"/>
          <w:szCs w:val="24"/>
          <w:lang w:eastAsia="ar-SA"/>
        </w:rPr>
      </w:pPr>
      <w:r>
        <w:rPr>
          <w:rFonts w:ascii="Times New Roman" w:hAnsi="Times New Roman" w:eastAsia="Calibri" w:cs="Times New Roman"/>
          <w:b/>
          <w:sz w:val="24"/>
          <w:szCs w:val="24"/>
          <w:lang w:eastAsia="ar-SA"/>
        </w:rPr>
        <w:t>3. ЦЕНА ДОГОВОРА</w:t>
      </w:r>
    </w:p>
    <w:p w14:paraId="3E0D965B">
      <w:pPr>
        <w:spacing w:after="0" w:line="240" w:lineRule="auto"/>
        <w:ind w:firstLine="709"/>
        <w:jc w:val="both"/>
        <w:rPr>
          <w:rFonts w:ascii="Times New Roman" w:hAnsi="Times New Roman" w:eastAsia="Arial CYR" w:cs="Times New Roman"/>
          <w:sz w:val="24"/>
          <w:szCs w:val="24"/>
          <w:lang w:eastAsia="ar-SA"/>
        </w:rPr>
      </w:pPr>
      <w:bookmarkStart w:id="20" w:name="_Hlk154045063"/>
      <w:r>
        <w:rPr>
          <w:rFonts w:ascii="Times New Roman" w:hAnsi="Times New Roman" w:eastAsia="Arial CYR" w:cs="Times New Roman"/>
          <w:sz w:val="24"/>
          <w:szCs w:val="24"/>
          <w:lang w:eastAsia="ar-SA"/>
        </w:rPr>
        <w:t xml:space="preserve">3.1. Цена договора - размер денежных средств, подлежащих уплате Участником долевого строительства на финансирование и возмещение затрат на строительство Объекта долевого строительства </w:t>
      </w:r>
      <w:r>
        <w:rPr>
          <w:rFonts w:ascii="Times New Roman" w:hAnsi="Times New Roman" w:cs="Times New Roman"/>
          <w:color w:val="151515"/>
          <w:sz w:val="24"/>
          <w:szCs w:val="24"/>
          <w:shd w:val="clear" w:color="auto" w:fill="FFFFFF" w:themeFill="background1"/>
        </w:rPr>
        <w:t>в том числе, в возмещение затрат на уплату процентов по целевым кредитам и целевым займам, привлеченным Застройщиком на строительство (создание) Объекта, в том числе до заключения настоящего Договора</w:t>
      </w:r>
      <w:r>
        <w:rPr>
          <w:rFonts w:ascii="Times New Roman" w:hAnsi="Times New Roman" w:eastAsia="Arial CYR" w:cs="Times New Roman"/>
          <w:sz w:val="24"/>
          <w:szCs w:val="24"/>
          <w:shd w:val="clear" w:color="auto" w:fill="FFFFFF" w:themeFill="background1"/>
          <w:lang w:eastAsia="ar-SA"/>
        </w:rPr>
        <w:t xml:space="preserve">. </w:t>
      </w:r>
      <w:r>
        <w:rPr>
          <w:rFonts w:ascii="Times New Roman" w:hAnsi="Times New Roman" w:eastAsia="Arial CYR" w:cs="Times New Roman"/>
          <w:sz w:val="24"/>
          <w:szCs w:val="24"/>
          <w:lang w:eastAsia="ar-SA"/>
        </w:rPr>
        <w:t>Цена договора рассчитана посредством умножения Проектной общей площади жилого помещения с холодными помещениями на стоимость одного квадратного метра, указанную в п. 3.2. настоящего Договора. Окончательная цена договора рассчитывается посредством умножения Фактической общей площади жилого помещения с холодными помещениями на стоимость одного квадратного метра, указанную в п. 3.2. договора. Порядок взаиморасчетов между Сторонами после расчета Окончательной цены договора устанавливается п. 3.5. настоящего Договора.</w:t>
      </w:r>
    </w:p>
    <w:bookmarkEnd w:id="20"/>
    <w:p w14:paraId="30E84A8C">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3.2. </w:t>
      </w:r>
      <w:bookmarkStart w:id="21" w:name="_Hlk14196822"/>
      <w:r>
        <w:rPr>
          <w:rFonts w:ascii="Times New Roman" w:hAnsi="Times New Roman" w:eastAsia="Arial CYR" w:cs="Times New Roman"/>
          <w:sz w:val="24"/>
          <w:szCs w:val="24"/>
          <w:lang w:eastAsia="ar-SA"/>
        </w:rPr>
        <w:t xml:space="preserve">Стороны договорились, что стоимость одного квадратного метра составляет </w:t>
      </w:r>
      <w:r>
        <w:rPr>
          <w:b/>
          <w:lang w:eastAsia="ar-SA"/>
        </w:rPr>
        <w:fldChar w:fldCharType="begin"/>
      </w:r>
      <w:r>
        <w:rPr>
          <w:b/>
          <w:lang w:eastAsia="ar-SA"/>
        </w:rPr>
        <w:instrText xml:space="preserve"> FORMTEXT </w:instrText>
      </w:r>
      <w:r>
        <w:rPr>
          <w:b/>
          <w:lang w:eastAsia="ar-SA"/>
        </w:rPr>
        <w:fldChar w:fldCharType="separate"/>
      </w:r>
      <w:r>
        <w:rPr>
          <w:b/>
          <w:lang w:eastAsia="ar-SA"/>
        </w:rPr>
        <w:t>___________________</w:t>
      </w:r>
      <w:r>
        <w:rPr>
          <w:b/>
          <w:lang w:eastAsia="ar-SA"/>
        </w:rPr>
        <w:fldChar w:fldCharType="end"/>
      </w:r>
      <w:r>
        <w:rPr>
          <w:rFonts w:ascii="Times New Roman" w:hAnsi="Times New Roman" w:eastAsia="Arial CYR" w:cs="Times New Roman"/>
          <w:sz w:val="24"/>
          <w:szCs w:val="24"/>
          <w:lang w:eastAsia="ar-SA"/>
        </w:rPr>
        <w:t xml:space="preserve"> (</w:t>
      </w:r>
      <w:r>
        <w:rPr>
          <w:b/>
          <w:lang w:eastAsia="ar-SA"/>
        </w:rPr>
        <w:fldChar w:fldCharType="begin"/>
      </w:r>
      <w:r>
        <w:rPr>
          <w:b/>
          <w:lang w:eastAsia="ar-SA"/>
        </w:rPr>
        <w:instrText xml:space="preserve"> FORMTEXT </w:instrText>
      </w:r>
      <w:r>
        <w:rPr>
          <w:b/>
          <w:lang w:eastAsia="ar-SA"/>
        </w:rPr>
        <w:fldChar w:fldCharType="separate"/>
      </w:r>
      <w:r>
        <w:rPr>
          <w:b/>
          <w:lang w:eastAsia="ar-SA"/>
        </w:rPr>
        <w:t>___________________</w:t>
      </w:r>
      <w:r>
        <w:rPr>
          <w:b/>
          <w:lang w:eastAsia="ar-SA"/>
        </w:rPr>
        <w:fldChar w:fldCharType="end"/>
      </w:r>
      <w:r>
        <w:rPr>
          <w:rFonts w:ascii="Times New Roman" w:hAnsi="Times New Roman" w:eastAsia="Arial CYR" w:cs="Times New Roman"/>
          <w:sz w:val="24"/>
          <w:szCs w:val="24"/>
          <w:lang w:eastAsia="ru-RU"/>
        </w:rPr>
        <w:t xml:space="preserve">) </w:t>
      </w:r>
      <w:r>
        <w:rPr>
          <w:rFonts w:ascii="Times New Roman" w:hAnsi="Times New Roman" w:eastAsia="Arial CYR" w:cs="Times New Roman"/>
          <w:sz w:val="24"/>
          <w:szCs w:val="24"/>
          <w:lang w:eastAsia="ar-SA"/>
        </w:rPr>
        <w:t>рублей</w:t>
      </w:r>
      <w:r>
        <w:rPr>
          <w:rFonts w:ascii="Times New Roman" w:hAnsi="Times New Roman" w:eastAsia="Arial CYR" w:cs="Times New Roman"/>
          <w:sz w:val="24"/>
          <w:szCs w:val="24"/>
          <w:lang w:eastAsia="ar-SA"/>
        </w:rPr>
        <w:fldChar w:fldCharType="begin"/>
      </w:r>
      <w:r>
        <w:rPr>
          <w:rFonts w:ascii="Times New Roman" w:hAnsi="Times New Roman" w:eastAsia="Arial CYR" w:cs="Times New Roman"/>
          <w:sz w:val="24"/>
          <w:szCs w:val="24"/>
          <w:lang w:eastAsia="ar-SA"/>
        </w:rPr>
        <w:instrText xml:space="preserve"> FORMDROPDOWN </w:instrText>
      </w:r>
      <w:r>
        <w:rPr>
          <w:rFonts w:ascii="Times New Roman" w:hAnsi="Times New Roman" w:eastAsia="Arial CYR" w:cs="Times New Roman"/>
          <w:sz w:val="24"/>
          <w:szCs w:val="24"/>
          <w:lang w:eastAsia="ar-SA"/>
        </w:rPr>
        <w:fldChar w:fldCharType="separate"/>
      </w:r>
      <w:r>
        <w:rPr>
          <w:rFonts w:ascii="Times New Roman" w:hAnsi="Times New Roman" w:eastAsia="Arial CYR" w:cs="Times New Roman"/>
          <w:sz w:val="24"/>
          <w:szCs w:val="24"/>
          <w:lang w:eastAsia="ar-SA"/>
        </w:rPr>
        <w:fldChar w:fldCharType="end"/>
      </w:r>
      <w:r>
        <w:rPr>
          <w:rFonts w:ascii="Times New Roman" w:hAnsi="Times New Roman" w:eastAsia="Arial CYR" w:cs="Times New Roman"/>
          <w:sz w:val="24"/>
          <w:szCs w:val="24"/>
          <w:lang w:eastAsia="ar-SA"/>
        </w:rPr>
        <w:t>, НДС не облагается. Стоимость одного квадратного метра, определенная в настоящем пункте, является фиксированной и изменению не подлежит.</w:t>
      </w:r>
    </w:p>
    <w:p w14:paraId="5A80A46A">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Общая Цена договора составляет </w:t>
      </w:r>
      <w:r>
        <w:rPr>
          <w:b/>
          <w:lang w:eastAsia="ar-SA"/>
        </w:rPr>
        <w:fldChar w:fldCharType="begin"/>
      </w:r>
      <w:r>
        <w:rPr>
          <w:b/>
          <w:lang w:eastAsia="ar-SA"/>
        </w:rPr>
        <w:instrText xml:space="preserve"> FORMTEXT </w:instrText>
      </w:r>
      <w:r>
        <w:rPr>
          <w:b/>
          <w:lang w:eastAsia="ar-SA"/>
        </w:rPr>
        <w:fldChar w:fldCharType="separate"/>
      </w:r>
      <w:r>
        <w:rPr>
          <w:b/>
          <w:lang w:eastAsia="ar-SA"/>
        </w:rPr>
        <w:t>___________________</w:t>
      </w:r>
      <w:r>
        <w:rPr>
          <w:b/>
          <w:lang w:eastAsia="ar-SA"/>
        </w:rPr>
        <w:fldChar w:fldCharType="end"/>
      </w:r>
      <w:r>
        <w:rPr>
          <w:rFonts w:ascii="Times New Roman" w:hAnsi="Times New Roman" w:eastAsia="Arial CYR" w:cs="Times New Roman"/>
          <w:sz w:val="24"/>
          <w:szCs w:val="24"/>
          <w:lang w:eastAsia="ar-SA"/>
        </w:rPr>
        <w:t xml:space="preserve"> (</w:t>
      </w:r>
      <w:r>
        <w:rPr>
          <w:b/>
          <w:lang w:eastAsia="ar-SA"/>
        </w:rPr>
        <w:fldChar w:fldCharType="begin"/>
      </w:r>
      <w:r>
        <w:rPr>
          <w:b/>
          <w:lang w:eastAsia="ar-SA"/>
        </w:rPr>
        <w:instrText xml:space="preserve"> FORMTEXT </w:instrText>
      </w:r>
      <w:r>
        <w:rPr>
          <w:b/>
          <w:lang w:eastAsia="ar-SA"/>
        </w:rPr>
        <w:fldChar w:fldCharType="separate"/>
      </w:r>
      <w:r>
        <w:rPr>
          <w:b/>
          <w:lang w:eastAsia="ar-SA"/>
        </w:rPr>
        <w:t>___________________</w:t>
      </w:r>
      <w:r>
        <w:rPr>
          <w:b/>
          <w:lang w:eastAsia="ar-SA"/>
        </w:rPr>
        <w:fldChar w:fldCharType="end"/>
      </w:r>
      <w:r>
        <w:rPr>
          <w:rFonts w:ascii="Times New Roman" w:hAnsi="Times New Roman" w:eastAsia="Arial CYR" w:cs="Times New Roman"/>
          <w:sz w:val="24"/>
          <w:szCs w:val="24"/>
          <w:lang w:eastAsia="ar-SA"/>
        </w:rPr>
        <w:t>) рублей</w:t>
      </w:r>
      <w:r>
        <w:rPr>
          <w:rFonts w:ascii="Times New Roman" w:hAnsi="Times New Roman" w:eastAsia="Arial CYR" w:cs="Times New Roman"/>
          <w:sz w:val="24"/>
          <w:szCs w:val="24"/>
          <w:lang w:eastAsia="ar-SA"/>
        </w:rPr>
        <w:fldChar w:fldCharType="begin"/>
      </w:r>
      <w:r>
        <w:rPr>
          <w:rFonts w:ascii="Times New Roman" w:hAnsi="Times New Roman" w:eastAsia="Arial CYR" w:cs="Times New Roman"/>
          <w:sz w:val="24"/>
          <w:szCs w:val="24"/>
          <w:lang w:eastAsia="ar-SA"/>
        </w:rPr>
        <w:instrText xml:space="preserve"> FORMDROPDOWN </w:instrText>
      </w:r>
      <w:r>
        <w:rPr>
          <w:rFonts w:ascii="Times New Roman" w:hAnsi="Times New Roman" w:eastAsia="Arial CYR" w:cs="Times New Roman"/>
          <w:sz w:val="24"/>
          <w:szCs w:val="24"/>
          <w:lang w:eastAsia="ar-SA"/>
        </w:rPr>
        <w:fldChar w:fldCharType="separate"/>
      </w:r>
      <w:r>
        <w:rPr>
          <w:rFonts w:ascii="Times New Roman" w:hAnsi="Times New Roman" w:eastAsia="Arial CYR" w:cs="Times New Roman"/>
          <w:sz w:val="24"/>
          <w:szCs w:val="24"/>
          <w:lang w:eastAsia="ar-SA"/>
        </w:rPr>
        <w:fldChar w:fldCharType="end"/>
      </w:r>
      <w:r>
        <w:rPr>
          <w:rFonts w:ascii="Times New Roman" w:hAnsi="Times New Roman" w:eastAsia="Arial CYR" w:cs="Times New Roman"/>
          <w:sz w:val="24"/>
          <w:szCs w:val="24"/>
          <w:lang w:eastAsia="ar-SA"/>
        </w:rPr>
        <w:t xml:space="preserve"> </w:t>
      </w:r>
      <w:r>
        <w:rPr>
          <w:rFonts w:ascii="Times New Roman" w:hAnsi="Times New Roman" w:eastAsia="Arial CYR" w:cs="Times New Roman"/>
          <w:sz w:val="24"/>
          <w:szCs w:val="24"/>
          <w:lang w:eastAsia="ar-SA"/>
        </w:rPr>
        <w:fldChar w:fldCharType="begin"/>
      </w:r>
      <w:r>
        <w:rPr>
          <w:rFonts w:ascii="Times New Roman" w:hAnsi="Times New Roman" w:eastAsia="Arial CYR" w:cs="Times New Roman"/>
          <w:sz w:val="24"/>
          <w:szCs w:val="24"/>
          <w:lang w:eastAsia="ar-SA"/>
        </w:rPr>
        <w:instrText xml:space="preserve"> FORMTEXT </w:instrText>
      </w:r>
      <w:r>
        <w:rPr>
          <w:rFonts w:ascii="Times New Roman" w:hAnsi="Times New Roman" w:eastAsia="Arial CYR" w:cs="Times New Roman"/>
          <w:sz w:val="24"/>
          <w:szCs w:val="24"/>
          <w:lang w:eastAsia="ar-SA"/>
        </w:rPr>
        <w:fldChar w:fldCharType="separate"/>
      </w:r>
      <w:r>
        <w:rPr>
          <w:rFonts w:ascii="Times New Roman" w:hAnsi="Times New Roman" w:eastAsia="Arial CYR" w:cs="Times New Roman"/>
          <w:sz w:val="24"/>
          <w:szCs w:val="24"/>
          <w:lang w:eastAsia="ar-SA"/>
        </w:rPr>
        <w:t>00</w:t>
      </w:r>
      <w:r>
        <w:rPr>
          <w:rFonts w:ascii="Times New Roman" w:hAnsi="Times New Roman" w:eastAsia="Arial CYR" w:cs="Times New Roman"/>
          <w:sz w:val="24"/>
          <w:szCs w:val="24"/>
          <w:lang w:eastAsia="ru-RU"/>
        </w:rPr>
        <w:fldChar w:fldCharType="end"/>
      </w:r>
      <w:r>
        <w:rPr>
          <w:rFonts w:ascii="Times New Roman" w:hAnsi="Times New Roman" w:eastAsia="Arial CYR" w:cs="Times New Roman"/>
          <w:sz w:val="24"/>
          <w:szCs w:val="24"/>
          <w:lang w:eastAsia="ar-SA"/>
        </w:rPr>
        <w:t xml:space="preserve"> копеек, НДС не облагается. </w:t>
      </w:r>
      <w:bookmarkEnd w:id="21"/>
    </w:p>
    <w:p w14:paraId="14306242">
      <w:pPr>
        <w:shd w:val="clear" w:color="auto" w:fill="FFFFFF" w:themeFill="background1"/>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Оплата Участником долевого строительства цены настоящего Договора участия в долевом строительстве производится путем внесения Участником долевого строительства денежных средств в размере Депонируемой суммы на счет эскроу, открываемый в ПАО Сбербанк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1F363919">
      <w:pPr>
        <w:shd w:val="clear" w:color="auto" w:fill="FFFFFF" w:themeFill="background1"/>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900 – для мобильных, 8800 555 55 50 – для мобильных и городских </w:t>
      </w:r>
    </w:p>
    <w:p w14:paraId="7E39339E">
      <w:pPr>
        <w:spacing w:after="0"/>
        <w:ind w:firstLine="709"/>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Депонент: </w:t>
      </w:r>
      <w:r>
        <w:rPr>
          <w:b/>
          <w:lang w:eastAsia="ar-SA"/>
        </w:rPr>
        <w:fldChar w:fldCharType="begin"/>
      </w:r>
      <w:r>
        <w:rPr>
          <w:b/>
          <w:lang w:eastAsia="ar-SA"/>
        </w:rPr>
        <w:instrText xml:space="preserve"> FORMTEXT </w:instrText>
      </w:r>
      <w:r>
        <w:rPr>
          <w:b/>
          <w:lang w:eastAsia="ar-SA"/>
        </w:rPr>
        <w:fldChar w:fldCharType="separate"/>
      </w:r>
      <w:r>
        <w:rPr>
          <w:b/>
          <w:lang w:eastAsia="ar-SA"/>
        </w:rPr>
        <w:t>___________________</w:t>
      </w:r>
      <w:r>
        <w:rPr>
          <w:b/>
          <w:lang w:eastAsia="ar-SA"/>
        </w:rPr>
        <w:fldChar w:fldCharType="end"/>
      </w:r>
    </w:p>
    <w:p w14:paraId="737E35CC">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Бенефициар: Общество с ограниченной ответственностью Специализированный Застройщик «Марьянский парк» (ООО СЗ «Марьянский парк») </w:t>
      </w:r>
    </w:p>
    <w:p w14:paraId="4BE2C79F">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Депонируемая сумма(цена Договора участия в долевом строительстве): </w:t>
      </w:r>
      <w:r>
        <w:rPr>
          <w:b/>
          <w:lang w:eastAsia="ar-SA"/>
        </w:rPr>
        <w:fldChar w:fldCharType="begin"/>
      </w:r>
      <w:r>
        <w:rPr>
          <w:b/>
          <w:lang w:eastAsia="ar-SA"/>
        </w:rPr>
        <w:instrText xml:space="preserve"> FORMTEXT </w:instrText>
      </w:r>
      <w:r>
        <w:rPr>
          <w:b/>
          <w:lang w:eastAsia="ar-SA"/>
        </w:rPr>
        <w:fldChar w:fldCharType="separate"/>
      </w:r>
      <w:r>
        <w:rPr>
          <w:b/>
          <w:lang w:eastAsia="ar-SA"/>
        </w:rPr>
        <w:t>___________________</w:t>
      </w:r>
      <w:r>
        <w:rPr>
          <w:b/>
          <w:lang w:eastAsia="ar-SA"/>
        </w:rPr>
        <w:fldChar w:fldCharType="end"/>
      </w:r>
      <w:r>
        <w:rPr>
          <w:rFonts w:ascii="Times New Roman" w:hAnsi="Times New Roman" w:eastAsia="Arial CYR" w:cs="Times New Roman"/>
          <w:sz w:val="24"/>
          <w:szCs w:val="24"/>
          <w:lang w:eastAsia="ar-SA"/>
        </w:rPr>
        <w:t xml:space="preserve"> (</w:t>
      </w:r>
      <w:r>
        <w:rPr>
          <w:b/>
          <w:lang w:eastAsia="ar-SA"/>
        </w:rPr>
        <w:fldChar w:fldCharType="begin"/>
      </w:r>
      <w:r>
        <w:rPr>
          <w:b/>
          <w:lang w:eastAsia="ar-SA"/>
        </w:rPr>
        <w:instrText xml:space="preserve"> FORMTEXT </w:instrText>
      </w:r>
      <w:r>
        <w:rPr>
          <w:b/>
          <w:lang w:eastAsia="ar-SA"/>
        </w:rPr>
        <w:fldChar w:fldCharType="separate"/>
      </w:r>
      <w:r>
        <w:rPr>
          <w:b/>
          <w:lang w:eastAsia="ar-SA"/>
        </w:rPr>
        <w:t>___________________</w:t>
      </w:r>
      <w:r>
        <w:rPr>
          <w:b/>
          <w:lang w:eastAsia="ar-SA"/>
        </w:rPr>
        <w:fldChar w:fldCharType="end"/>
      </w:r>
      <w:r>
        <w:rPr>
          <w:rFonts w:ascii="Times New Roman" w:hAnsi="Times New Roman" w:eastAsia="Arial CYR" w:cs="Times New Roman"/>
          <w:sz w:val="24"/>
          <w:szCs w:val="24"/>
          <w:lang w:eastAsia="ar-SA"/>
        </w:rPr>
        <w:t>) рублей</w:t>
      </w:r>
      <w:r>
        <w:rPr>
          <w:rFonts w:ascii="Times New Roman" w:hAnsi="Times New Roman" w:eastAsia="Arial CYR" w:cs="Times New Roman"/>
          <w:sz w:val="24"/>
          <w:szCs w:val="24"/>
          <w:lang w:eastAsia="ar-SA"/>
        </w:rPr>
        <w:fldChar w:fldCharType="begin"/>
      </w:r>
      <w:r>
        <w:rPr>
          <w:rFonts w:ascii="Times New Roman" w:hAnsi="Times New Roman" w:eastAsia="Arial CYR" w:cs="Times New Roman"/>
          <w:sz w:val="24"/>
          <w:szCs w:val="24"/>
          <w:lang w:eastAsia="ar-SA"/>
        </w:rPr>
        <w:instrText xml:space="preserve"> FORMDROPDOWN </w:instrText>
      </w:r>
      <w:r>
        <w:rPr>
          <w:rFonts w:ascii="Times New Roman" w:hAnsi="Times New Roman" w:eastAsia="Arial CYR" w:cs="Times New Roman"/>
          <w:sz w:val="24"/>
          <w:szCs w:val="24"/>
          <w:lang w:eastAsia="ar-SA"/>
        </w:rPr>
        <w:fldChar w:fldCharType="separate"/>
      </w:r>
      <w:r>
        <w:rPr>
          <w:rFonts w:ascii="Times New Roman" w:hAnsi="Times New Roman" w:eastAsia="Arial CYR" w:cs="Times New Roman"/>
          <w:sz w:val="24"/>
          <w:szCs w:val="24"/>
          <w:lang w:eastAsia="ar-SA"/>
        </w:rPr>
        <w:fldChar w:fldCharType="end"/>
      </w:r>
      <w:r>
        <w:rPr>
          <w:rFonts w:ascii="Times New Roman" w:hAnsi="Times New Roman" w:eastAsia="Arial CYR" w:cs="Times New Roman"/>
          <w:sz w:val="24"/>
          <w:szCs w:val="24"/>
          <w:lang w:eastAsia="ar-SA"/>
        </w:rPr>
        <w:t xml:space="preserve"> </w:t>
      </w:r>
      <w:r>
        <w:rPr>
          <w:rFonts w:ascii="Times New Roman" w:hAnsi="Times New Roman" w:eastAsia="Arial CYR" w:cs="Times New Roman"/>
          <w:sz w:val="24"/>
          <w:szCs w:val="24"/>
          <w:lang w:eastAsia="ar-SA"/>
        </w:rPr>
        <w:fldChar w:fldCharType="begin"/>
      </w:r>
      <w:r>
        <w:rPr>
          <w:rFonts w:ascii="Times New Roman" w:hAnsi="Times New Roman" w:eastAsia="Arial CYR" w:cs="Times New Roman"/>
          <w:sz w:val="24"/>
          <w:szCs w:val="24"/>
          <w:lang w:eastAsia="ar-SA"/>
        </w:rPr>
        <w:instrText xml:space="preserve"> FORMTEXT </w:instrText>
      </w:r>
      <w:r>
        <w:rPr>
          <w:rFonts w:ascii="Times New Roman" w:hAnsi="Times New Roman" w:eastAsia="Arial CYR" w:cs="Times New Roman"/>
          <w:sz w:val="24"/>
          <w:szCs w:val="24"/>
          <w:lang w:eastAsia="ar-SA"/>
        </w:rPr>
        <w:fldChar w:fldCharType="separate"/>
      </w:r>
      <w:r>
        <w:rPr>
          <w:rFonts w:ascii="Times New Roman" w:hAnsi="Times New Roman" w:eastAsia="Arial CYR" w:cs="Times New Roman"/>
          <w:sz w:val="24"/>
          <w:szCs w:val="24"/>
          <w:lang w:eastAsia="ar-SA"/>
        </w:rPr>
        <w:t>00</w:t>
      </w:r>
      <w:r>
        <w:rPr>
          <w:rFonts w:ascii="Times New Roman" w:hAnsi="Times New Roman" w:eastAsia="Arial CYR" w:cs="Times New Roman"/>
          <w:sz w:val="24"/>
          <w:szCs w:val="24"/>
          <w:lang w:eastAsia="ru-RU"/>
        </w:rPr>
        <w:fldChar w:fldCharType="end"/>
      </w:r>
      <w:r>
        <w:rPr>
          <w:rFonts w:ascii="Times New Roman" w:hAnsi="Times New Roman" w:eastAsia="Arial CYR" w:cs="Times New Roman"/>
          <w:sz w:val="24"/>
          <w:szCs w:val="24"/>
          <w:lang w:eastAsia="ar-SA"/>
        </w:rPr>
        <w:t xml:space="preserve"> копеек</w:t>
      </w:r>
    </w:p>
    <w:p w14:paraId="561109FC">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Срок внесения Депонентом Депонируемой суммы на счет эскроу: до ___________________г. в порядке, предусмотренном п. 3.2.1</w:t>
      </w:r>
      <w:r>
        <w:t xml:space="preserve"> </w:t>
      </w:r>
      <w:r>
        <w:rPr>
          <w:rFonts w:ascii="Times New Roman" w:hAnsi="Times New Roman" w:eastAsia="Arial CYR" w:cs="Times New Roman"/>
          <w:sz w:val="24"/>
          <w:szCs w:val="24"/>
          <w:lang w:eastAsia="ar-SA"/>
        </w:rPr>
        <w:t>настоящего Договора участия в долевом строительстве.</w:t>
      </w:r>
    </w:p>
    <w:p w14:paraId="66B8DF9D">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Срок условного депонирования денежных средств: в соответствии с договором счета эскроу.</w:t>
      </w:r>
    </w:p>
    <w:p w14:paraId="5D67666C">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Основания перечисления застройщику (бенефициару) депонированной суммы: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w:t>
      </w:r>
    </w:p>
    <w:p w14:paraId="0A386809">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Расчеты производятся с использованием счета эскроу, открытого в ПАО Сбербанк, на участника долевого строительства </w:t>
      </w:r>
      <w:r>
        <w:rPr>
          <w:b/>
          <w:lang w:eastAsia="ar-SA"/>
        </w:rPr>
        <w:fldChar w:fldCharType="begin"/>
      </w:r>
      <w:r>
        <w:rPr>
          <w:b/>
          <w:lang w:eastAsia="ar-SA"/>
        </w:rPr>
        <w:instrText xml:space="preserve"> FORMTEXT </w:instrText>
      </w:r>
      <w:r>
        <w:rPr>
          <w:b/>
          <w:lang w:eastAsia="ar-SA"/>
        </w:rPr>
        <w:fldChar w:fldCharType="separate"/>
      </w:r>
      <w:r>
        <w:rPr>
          <w:b/>
          <w:lang w:eastAsia="ar-SA"/>
        </w:rPr>
        <w:t>___________________</w:t>
      </w:r>
      <w:r>
        <w:rPr>
          <w:b/>
          <w:lang w:eastAsia="ar-SA"/>
        </w:rPr>
        <w:fldChar w:fldCharType="end"/>
      </w:r>
      <w:r>
        <w:rPr>
          <w:rFonts w:ascii="Times New Roman" w:hAnsi="Times New Roman" w:eastAsia="Arial CYR" w:cs="Times New Roman"/>
          <w:sz w:val="24"/>
          <w:szCs w:val="24"/>
          <w:lang w:eastAsia="ar-SA"/>
        </w:rPr>
        <w:t>»</w:t>
      </w:r>
    </w:p>
    <w:p w14:paraId="3352762B">
      <w:pPr>
        <w:spacing w:after="0" w:line="240" w:lineRule="auto"/>
        <w:ind w:firstLine="709"/>
        <w:jc w:val="both"/>
        <w:rPr>
          <w:b/>
          <w:lang w:eastAsia="ar-SA"/>
        </w:rPr>
      </w:pPr>
      <w:r>
        <w:rPr>
          <w:rFonts w:ascii="Times New Roman" w:hAnsi="Times New Roman" w:eastAsia="Arial CYR" w:cs="Times New Roman"/>
          <w:sz w:val="24"/>
          <w:szCs w:val="24"/>
          <w:lang w:eastAsia="ar-SA"/>
        </w:rPr>
        <w:t xml:space="preserve">3.2.1. Оплата Цены настоящего Договора производится Участником долевого строительства с использованием специального счета эскроу после государственной регистрации настоящего Договора в </w:t>
      </w:r>
      <w:r>
        <w:rPr>
          <w:rFonts w:ascii="Times New Roman" w:hAnsi="Times New Roman" w:eastAsia="Arial CYR" w:cs="Times New Roman"/>
          <w:sz w:val="24"/>
          <w:szCs w:val="24"/>
        </w:rPr>
        <w:t xml:space="preserve">следующем порядке: </w:t>
      </w:r>
      <w:r>
        <w:rPr>
          <w:b/>
          <w:lang w:eastAsia="ar-SA"/>
        </w:rPr>
        <w:fldChar w:fldCharType="begin"/>
      </w:r>
      <w:r>
        <w:rPr>
          <w:b/>
          <w:lang w:eastAsia="ar-SA"/>
        </w:rPr>
        <w:instrText xml:space="preserve"> FORMTEXT </w:instrText>
      </w:r>
      <w:r>
        <w:rPr>
          <w:b/>
          <w:lang w:eastAsia="ar-SA"/>
        </w:rPr>
        <w:fldChar w:fldCharType="separate"/>
      </w:r>
      <w:r>
        <w:rPr>
          <w:b/>
          <w:lang w:eastAsia="ar-SA"/>
        </w:rPr>
        <w:t>_______________________________________</w:t>
      </w:r>
      <w:r>
        <w:rPr>
          <w:b/>
          <w:lang w:eastAsia="ar-SA"/>
        </w:rPr>
        <w:fldChar w:fldCharType="end"/>
      </w:r>
    </w:p>
    <w:p w14:paraId="7D8C196C">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3.3. Обязательства Участника долевого строительства по оплате договора считаются выполненными с момента поступления денежных средств в полном объеме на специальный счет эскроу.</w:t>
      </w:r>
    </w:p>
    <w:p w14:paraId="02B84138">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lang w:eastAsia="ar-SA"/>
        </w:rPr>
        <w:t>3.4.</w:t>
      </w:r>
      <w:r>
        <w:t xml:space="preserve"> </w:t>
      </w:r>
      <w:r>
        <w:rPr>
          <w:rFonts w:ascii="Times New Roman" w:hAnsi="Times New Roman" w:eastAsia="Arial CYR" w:cs="Times New Roman"/>
          <w:sz w:val="24"/>
          <w:szCs w:val="24"/>
          <w:lang w:eastAsia="ar-SA"/>
        </w:rPr>
        <w:t>В случае, если по окончании строительства Объекта капитального строительства в распоряжении Застройщика останутся излишние и/или неиспользованные средства (экономия Застройщика), таковые считаются в качестве вознаграждения Застройщика.</w:t>
      </w:r>
    </w:p>
    <w:p w14:paraId="71AAB3EB">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3.5. При заключении настоящего договора Стороны принимают во внимание допускаемую строительными нормами и правилами возможность изменения размеров Фактической общей площади жилого помещения с холодными помещениями относительно Проектной общей площади жилого помещения с холодными помещениями. </w:t>
      </w:r>
      <w:r>
        <w:rPr>
          <w:rFonts w:ascii="Times New Roman" w:hAnsi="Times New Roman" w:cs="Times New Roman"/>
          <w:sz w:val="24"/>
          <w:szCs w:val="24"/>
        </w:rPr>
        <w:t xml:space="preserve">Размер допустимого изменения </w:t>
      </w:r>
      <w:r>
        <w:rPr>
          <w:rFonts w:ascii="Times New Roman" w:hAnsi="Times New Roman" w:eastAsia="Arial CYR" w:cs="Times New Roman"/>
          <w:sz w:val="24"/>
          <w:szCs w:val="24"/>
          <w:lang w:eastAsia="ar-SA"/>
        </w:rPr>
        <w:t>Фактической общей площади жилого помещения с холодными помещениями от Проектной общей площади жилого помещения с холодными помещениями</w:t>
      </w:r>
      <w:r>
        <w:rPr>
          <w:rFonts w:ascii="Times New Roman" w:hAnsi="Times New Roman" w:cs="Times New Roman"/>
          <w:sz w:val="24"/>
          <w:szCs w:val="24"/>
        </w:rPr>
        <w:t xml:space="preserve"> по настоящему Договору составляет не более пяти процентов. </w:t>
      </w:r>
      <w:r>
        <w:rPr>
          <w:rFonts w:ascii="Times New Roman" w:hAnsi="Times New Roman" w:eastAsia="Arial CYR" w:cs="Times New Roman"/>
          <w:sz w:val="24"/>
          <w:szCs w:val="24"/>
          <w:lang w:eastAsia="ar-SA"/>
        </w:rPr>
        <w:t>В связи с изложенным Стороны договорились о следующем порядке окончательных расчетов:</w:t>
      </w:r>
    </w:p>
    <w:p w14:paraId="4B7E146B">
      <w:pPr>
        <w:spacing w:after="0" w:line="240" w:lineRule="auto"/>
        <w:ind w:firstLine="709"/>
        <w:jc w:val="both"/>
        <w:rPr>
          <w:rFonts w:ascii="Times New Roman" w:hAnsi="Times New Roman" w:eastAsia="Arial CYR" w:cs="Times New Roman"/>
          <w:sz w:val="24"/>
          <w:szCs w:val="24"/>
          <w:lang w:eastAsia="ar-SA"/>
        </w:rPr>
      </w:pPr>
      <w:bookmarkStart w:id="22" w:name="_Hlk154045086"/>
      <w:r>
        <w:rPr>
          <w:rFonts w:ascii="Times New Roman" w:hAnsi="Times New Roman" w:eastAsia="Arial CYR" w:cs="Times New Roman"/>
          <w:sz w:val="24"/>
          <w:szCs w:val="24"/>
          <w:lang w:eastAsia="ar-SA"/>
        </w:rPr>
        <w:t>3.5.1. Если согласно технического (кадастрового) паспорта (выписки) Объекта капитального строительства Фактическая общая площадь нежилого помещения с холодными помещениями окажется на 1% больше Проектной общей площади нежилого помещения с холодными помещениями, то Участник долевого строительства обязан в течении 10 (десяти) рабочих дней с момента получения соответствующего письменного уведомления Застройщика оплатить разницу площадей по цене одного квадратного метра, утвержденного п. 3.2 настоящего Договора.</w:t>
      </w:r>
    </w:p>
    <w:p w14:paraId="3EE22F54">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3.5.2. Если согласно технического (кадастрового) паспорта Объекта капитального строительства Фактическая общая площадь нежилого помещения с холодными помещениями окажется на 1% меньше Проектной общей площади нежилого помещения с холодными помещениями, оговоренной в настоящем договоре, то Застройщик обязуется в течении 10 (десяти) банковских дней с момента получения соответствующего письменного уведомления (заявления, содержащего банковские реквизиты для осуществления перечисления денежных средств) от Участника долевого строительства произвести возврат денежных средств за разницу площадей по цене одного квадратного метра утвержденного п. 3.2 настоящего Договора.</w:t>
      </w:r>
    </w:p>
    <w:bookmarkEnd w:id="22"/>
    <w:p w14:paraId="28BE6970">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3.6. Взаиморасчеты Сторон в связи с уточнением Окончательной цены договора производятся Сторонами до составления Акта приема-передачи на Объект долевого строительства.</w:t>
      </w:r>
    </w:p>
    <w:p w14:paraId="2BDFBA0A">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3.6.1. Доплата (возврат) денежных сумм, произведенные в соответствии с пп.пп. 3.5.1., 3.5.2. настоящего Договора, входят в цену настоящего Договора. Изменение цены договора на основании пп.пп. 3.5.1., 3.5.2. настоящего договора производится без подписания дополнительного соглашения и считается измененной с момента получения Участником долевого строительства соответствующего уведомления.</w:t>
      </w:r>
    </w:p>
    <w:p w14:paraId="40F0EEFE">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 xml:space="preserve">3.7. Стороны определили, что при осуществлении расчетов по настоящему договору в безналичной форме в платежных документах о перечислении сумм должно быть указанно следующее назначение платежа:  </w:t>
      </w:r>
      <w:r>
        <w:rPr>
          <w:rFonts w:ascii="Times New Roman" w:hAnsi="Times New Roman" w:eastAsia="Arial CYR" w:cs="Times New Roman"/>
          <w:b/>
          <w:sz w:val="24"/>
          <w:szCs w:val="24"/>
        </w:rPr>
        <w:t xml:space="preserve">«Оплата за нежилое помещение условный номер </w:t>
      </w:r>
      <w:r>
        <w:rPr>
          <w:b/>
          <w:lang w:eastAsia="ar-SA"/>
        </w:rPr>
        <w:fldChar w:fldCharType="begin"/>
      </w:r>
      <w:r>
        <w:rPr>
          <w:b/>
          <w:lang w:eastAsia="ar-SA"/>
        </w:rPr>
        <w:instrText xml:space="preserve"> FORMTEXT </w:instrText>
      </w:r>
      <w:r>
        <w:rPr>
          <w:b/>
          <w:lang w:eastAsia="ar-SA"/>
        </w:rPr>
        <w:fldChar w:fldCharType="separate"/>
      </w:r>
      <w:r>
        <w:rPr>
          <w:b/>
          <w:lang w:eastAsia="ar-SA"/>
        </w:rPr>
        <w:t>________</w:t>
      </w:r>
      <w:r>
        <w:rPr>
          <w:b/>
          <w:lang w:eastAsia="ar-SA"/>
        </w:rPr>
        <w:fldChar w:fldCharType="end"/>
      </w:r>
      <w:r>
        <w:rPr>
          <w:rFonts w:ascii="Times New Roman" w:hAnsi="Times New Roman" w:eastAsia="Arial CYR" w:cs="Times New Roman"/>
          <w:b/>
          <w:sz w:val="24"/>
          <w:szCs w:val="24"/>
        </w:rPr>
        <w:t xml:space="preserve"> по договору участия в долевом строительстве № </w:t>
      </w:r>
      <w:r>
        <w:rPr>
          <w:rFonts w:ascii="Times New Roman" w:hAnsi="Times New Roman" w:cs="Times New Roman"/>
          <w:b/>
          <w:sz w:val="24"/>
          <w:szCs w:val="24"/>
          <w:lang w:eastAsia="ar-SA"/>
        </w:rPr>
        <w:fldChar w:fldCharType="begin"/>
      </w:r>
      <w:r>
        <w:rPr>
          <w:rFonts w:ascii="Times New Roman" w:hAnsi="Times New Roman" w:cs="Times New Roman"/>
          <w:b/>
          <w:sz w:val="24"/>
          <w:szCs w:val="24"/>
          <w:lang w:eastAsia="ar-SA"/>
        </w:rPr>
        <w:instrText xml:space="preserve"> FORMTEXT </w:instrText>
      </w:r>
      <w:r>
        <w:rPr>
          <w:rFonts w:ascii="Times New Roman" w:hAnsi="Times New Roman" w:cs="Times New Roman"/>
          <w:b/>
          <w:sz w:val="24"/>
          <w:szCs w:val="24"/>
          <w:lang w:eastAsia="ar-SA"/>
        </w:rPr>
        <w:fldChar w:fldCharType="separate"/>
      </w:r>
      <w:r>
        <w:rPr>
          <w:rFonts w:ascii="Times New Roman" w:hAnsi="Times New Roman" w:cs="Times New Roman"/>
          <w:b/>
          <w:sz w:val="24"/>
          <w:szCs w:val="24"/>
          <w:lang w:eastAsia="ar-SA"/>
        </w:rPr>
        <w:t>_____</w:t>
      </w:r>
      <w:r>
        <w:rPr>
          <w:rFonts w:ascii="Times New Roman" w:hAnsi="Times New Roman" w:cs="Times New Roman"/>
          <w:b/>
          <w:sz w:val="24"/>
          <w:szCs w:val="24"/>
          <w:lang w:eastAsia="ar-SA"/>
        </w:rPr>
        <w:fldChar w:fldCharType="end"/>
      </w:r>
      <w:r>
        <w:rPr>
          <w:rFonts w:ascii="Times New Roman" w:hAnsi="Times New Roman" w:eastAsia="Arial CYR" w:cs="Times New Roman"/>
          <w:b/>
          <w:sz w:val="24"/>
          <w:szCs w:val="24"/>
        </w:rPr>
        <w:t xml:space="preserve"> </w:t>
      </w:r>
      <w:r>
        <w:rPr>
          <w:rFonts w:ascii="Times New Roman" w:hAnsi="Times New Roman" w:cs="Times New Roman"/>
          <w:b/>
          <w:sz w:val="24"/>
          <w:szCs w:val="24"/>
          <w:lang w:eastAsia="ar-SA"/>
        </w:rPr>
        <w:t>«</w:t>
      </w:r>
      <w:r>
        <w:rPr>
          <w:rFonts w:ascii="Times New Roman" w:hAnsi="Times New Roman" w:cs="Times New Roman"/>
          <w:b/>
          <w:sz w:val="24"/>
          <w:szCs w:val="24"/>
          <w:lang w:eastAsia="ar-SA"/>
        </w:rPr>
        <w:fldChar w:fldCharType="begin"/>
      </w:r>
      <w:r>
        <w:rPr>
          <w:rFonts w:ascii="Times New Roman" w:hAnsi="Times New Roman" w:cs="Times New Roman"/>
          <w:b/>
          <w:sz w:val="24"/>
          <w:szCs w:val="24"/>
          <w:lang w:eastAsia="ar-SA"/>
        </w:rPr>
        <w:instrText xml:space="preserve"> FORMTEXT </w:instrText>
      </w:r>
      <w:r>
        <w:rPr>
          <w:rFonts w:ascii="Times New Roman" w:hAnsi="Times New Roman" w:cs="Times New Roman"/>
          <w:b/>
          <w:sz w:val="24"/>
          <w:szCs w:val="24"/>
          <w:lang w:eastAsia="ar-SA"/>
        </w:rPr>
        <w:fldChar w:fldCharType="separate"/>
      </w:r>
      <w:r>
        <w:rPr>
          <w:rFonts w:ascii="Times New Roman" w:hAnsi="Times New Roman" w:cs="Times New Roman"/>
          <w:b/>
          <w:sz w:val="24"/>
          <w:szCs w:val="24"/>
          <w:lang w:eastAsia="ar-SA"/>
        </w:rPr>
        <w:t>________</w:t>
      </w:r>
      <w:r>
        <w:rPr>
          <w:rFonts w:ascii="Times New Roman" w:hAnsi="Times New Roman" w:cs="Times New Roman"/>
          <w:b/>
          <w:sz w:val="24"/>
          <w:szCs w:val="24"/>
          <w:lang w:eastAsia="ar-SA"/>
        </w:rPr>
        <w:fldChar w:fldCharType="end"/>
      </w:r>
      <w:r>
        <w:rPr>
          <w:rFonts w:ascii="Times New Roman" w:hAnsi="Times New Roman" w:cs="Times New Roman"/>
          <w:b/>
          <w:sz w:val="24"/>
          <w:szCs w:val="24"/>
          <w:lang w:eastAsia="ar-SA"/>
        </w:rPr>
        <w:t xml:space="preserve">» </w:t>
      </w:r>
      <w:r>
        <w:rPr>
          <w:b/>
          <w:lang w:eastAsia="ar-SA"/>
        </w:rPr>
        <w:fldChar w:fldCharType="begin"/>
      </w:r>
      <w:r>
        <w:rPr>
          <w:b/>
          <w:lang w:eastAsia="ar-SA"/>
        </w:rPr>
        <w:instrText xml:space="preserve"> FORMTEXT </w:instrText>
      </w:r>
      <w:r>
        <w:rPr>
          <w:b/>
          <w:lang w:eastAsia="ar-SA"/>
        </w:rPr>
        <w:fldChar w:fldCharType="separate"/>
      </w:r>
      <w:r>
        <w:rPr>
          <w:b/>
          <w:lang w:eastAsia="ar-SA"/>
        </w:rPr>
        <w:t>________</w:t>
      </w:r>
      <w:r>
        <w:rPr>
          <w:b/>
          <w:lang w:eastAsia="ar-SA"/>
        </w:rPr>
        <w:fldChar w:fldCharType="end"/>
      </w:r>
      <w:r>
        <w:rPr>
          <w:rFonts w:ascii="Times New Roman" w:hAnsi="Times New Roman" w:cs="Times New Roman"/>
          <w:b/>
          <w:sz w:val="24"/>
          <w:szCs w:val="24"/>
          <w:lang w:eastAsia="ar-SA"/>
        </w:rPr>
        <w:t xml:space="preserve"> </w:t>
      </w:r>
      <w:r>
        <w:rPr>
          <w:rFonts w:ascii="Times New Roman" w:hAnsi="Times New Roman" w:cs="Times New Roman"/>
          <w:b/>
          <w:sz w:val="24"/>
          <w:szCs w:val="24"/>
        </w:rPr>
        <w:t>20__</w:t>
      </w:r>
      <w:r>
        <w:t xml:space="preserve"> </w:t>
      </w:r>
      <w:r>
        <w:rPr>
          <w:rFonts w:ascii="Times New Roman" w:hAnsi="Times New Roman" w:eastAsia="Arial CYR" w:cs="Times New Roman"/>
          <w:b/>
          <w:sz w:val="24"/>
          <w:szCs w:val="24"/>
        </w:rPr>
        <w:t>года, НДС не предусмотрен</w:t>
      </w:r>
      <w:r>
        <w:rPr>
          <w:rFonts w:ascii="Times New Roman" w:hAnsi="Times New Roman" w:eastAsia="Arial CYR" w:cs="Times New Roman"/>
          <w:b/>
          <w:i/>
          <w:sz w:val="24"/>
          <w:szCs w:val="24"/>
        </w:rPr>
        <w:t>»</w:t>
      </w:r>
      <w:r>
        <w:rPr>
          <w:rFonts w:ascii="Times New Roman" w:hAnsi="Times New Roman" w:eastAsia="Arial CYR" w:cs="Times New Roman"/>
          <w:i/>
          <w:sz w:val="24"/>
          <w:szCs w:val="24"/>
        </w:rPr>
        <w:t>.</w:t>
      </w:r>
      <w:r>
        <w:rPr>
          <w:rFonts w:ascii="Times New Roman" w:hAnsi="Times New Roman" w:eastAsia="Arial CYR" w:cs="Times New Roman"/>
          <w:sz w:val="24"/>
          <w:szCs w:val="24"/>
        </w:rPr>
        <w:t xml:space="preserve"> </w:t>
      </w:r>
    </w:p>
    <w:p w14:paraId="7C0A34BC">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3.8. Ввиду того, что расчет между Сторонами не произведён, согласно пункту 5 статьи 488 Гражданского кодекса Российской Федерации, Стороны пришли к соглашению, что отчуждаемые имущественные права на Объект долевого строительства не будут находиться в залоге у Застройщика.</w:t>
      </w:r>
    </w:p>
    <w:p w14:paraId="2E96167F">
      <w:pPr>
        <w:spacing w:after="0" w:line="240" w:lineRule="auto"/>
        <w:ind w:firstLine="426"/>
        <w:jc w:val="center"/>
        <w:rPr>
          <w:rFonts w:ascii="Times New Roman" w:hAnsi="Times New Roman" w:eastAsia="Calibri" w:cs="Times New Roman"/>
          <w:b/>
          <w:sz w:val="24"/>
          <w:szCs w:val="24"/>
          <w:lang w:eastAsia="ar-SA"/>
        </w:rPr>
      </w:pPr>
      <w:r>
        <w:rPr>
          <w:rFonts w:ascii="Times New Roman" w:hAnsi="Times New Roman" w:eastAsia="Calibri" w:cs="Times New Roman"/>
          <w:b/>
          <w:sz w:val="24"/>
          <w:szCs w:val="24"/>
          <w:lang w:eastAsia="ar-SA"/>
        </w:rPr>
        <w:t>4. ПРАВА И ОБЯЗАННОСТИ СТОРОН</w:t>
      </w:r>
    </w:p>
    <w:p w14:paraId="4EE9C5E6">
      <w:pPr>
        <w:spacing w:after="0" w:line="240" w:lineRule="auto"/>
        <w:ind w:firstLine="709"/>
        <w:jc w:val="both"/>
        <w:rPr>
          <w:rFonts w:ascii="Times New Roman" w:hAnsi="Times New Roman" w:eastAsia="Arial CYR" w:cs="Times New Roman"/>
          <w:sz w:val="24"/>
          <w:szCs w:val="24"/>
          <w:lang w:eastAsia="ar-SA"/>
        </w:rPr>
      </w:pPr>
      <w:bookmarkStart w:id="23" w:name="_Hlk14197022"/>
      <w:r>
        <w:rPr>
          <w:rFonts w:ascii="Times New Roman" w:hAnsi="Times New Roman" w:eastAsia="Arial CYR" w:cs="Times New Roman"/>
          <w:sz w:val="24"/>
          <w:szCs w:val="24"/>
          <w:lang w:eastAsia="ar-SA"/>
        </w:rPr>
        <w:t>4.1. Застройщик обязуется:</w:t>
      </w:r>
    </w:p>
    <w:p w14:paraId="7959F87F">
      <w:pPr>
        <w:spacing w:after="0" w:line="240" w:lineRule="auto"/>
        <w:ind w:firstLine="709"/>
        <w:jc w:val="both"/>
        <w:rPr>
          <w:rFonts w:ascii="Times New Roman" w:hAnsi="Times New Roman" w:cs="Times New Roman"/>
          <w:sz w:val="24"/>
          <w:szCs w:val="24"/>
          <w:lang w:eastAsia="ar-SA"/>
        </w:rPr>
      </w:pPr>
      <w:r>
        <w:rPr>
          <w:rFonts w:ascii="Times New Roman" w:hAnsi="Times New Roman" w:eastAsia="Arial CYR" w:cs="Times New Roman"/>
          <w:sz w:val="24"/>
          <w:szCs w:val="24"/>
          <w:lang w:eastAsia="ar-SA"/>
        </w:rPr>
        <w:t xml:space="preserve">4.1.1. В предусмотренный договором срок своими силами и (или) с привлечением других лиц построить (создать) </w:t>
      </w:r>
      <w:r>
        <w:rPr>
          <w:rFonts w:ascii="Times New Roman" w:hAnsi="Times New Roman" w:cs="Times New Roman"/>
          <w:sz w:val="24"/>
          <w:szCs w:val="24"/>
          <w:lang w:eastAsia="ar-SA"/>
        </w:rPr>
        <w:t xml:space="preserve">Объект капитального строительства. </w:t>
      </w:r>
    </w:p>
    <w:p w14:paraId="0B9F0837">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4.1.2.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завершенный строительством Объект долевого строительства в установленном законом порядке. </w:t>
      </w:r>
    </w:p>
    <w:p w14:paraId="6F0AE4FE">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4.1.3. При условии выполнения Участником долевого строительства обязательства по оплате Окончательной цены договора, передать Участнику долевого строительства по Акту приема-передачи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w:t>
      </w:r>
    </w:p>
    <w:p w14:paraId="0FFFDB43">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4.2. Стороны достигли соглашения о том, что Застройщик имеет право:</w:t>
      </w:r>
    </w:p>
    <w:p w14:paraId="658B5DE6">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4.2.1. Самостоятельно, в порядке, определенном действующим законодательством Российской Федерации, без дополнительного согласования с Участником долевого строительства, решать вопросы об изменении проектных решений, не затрагивающие Объект долевого строительства, изменения проектной документации в отношении общего имущества Объекта капитального строительства, не создающие препятствий к использованию Объекта долевого строительства (затруднение доступа в Объект долевого строительства и т.п.); любые изменения проектной документации в отношении объектов недвижимого имущества, расположенных за пределами Объекта капитального строительства; изменение цветовых и конструктивных решений фасада Объекта капитального строительства; замены материалов, конструкций, оборудования Объекта капитального строительства, увеличения этажности Объекта капитального строительства, архитектурные, структурные и иные изменения, а также назначения обособленных нежилых помещений; изменения проектной документации в связи с исполнением требований действующего законодательства и (или) в соответствии с законными требованиями органов государственной власти или органов местного самоуправления, указанные изменения осуществляющиеся путем внесения изменений и (или) корректировок в проектную документацию Объекта капитального строительства в порядке, предусмотренном действующим законодательством РФ.</w:t>
      </w:r>
    </w:p>
    <w:p w14:paraId="2E9E221D">
      <w:pPr>
        <w:spacing w:after="0" w:line="240" w:lineRule="auto"/>
        <w:ind w:firstLine="709"/>
        <w:jc w:val="both"/>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ar-SA"/>
        </w:rPr>
        <w:t xml:space="preserve">Уведомление Участника долевого строительства об указанных изменениях производиться путем внесения соответствующих изменений в проектную декларацию на </w:t>
      </w:r>
      <w:bookmarkStart w:id="24" w:name="_Hlk61905867"/>
      <w:r>
        <w:rPr>
          <w:rFonts w:ascii="Times New Roman" w:hAnsi="Times New Roman" w:eastAsia="Calibri" w:cs="Times New Roman"/>
          <w:sz w:val="24"/>
          <w:szCs w:val="24"/>
          <w:lang w:eastAsia="ar-SA"/>
        </w:rPr>
        <w:t>Объект капитального строительства,</w:t>
      </w:r>
      <w:bookmarkEnd w:id="24"/>
      <w:r>
        <w:rPr>
          <w:rFonts w:ascii="Times New Roman" w:hAnsi="Times New Roman" w:eastAsia="Calibri" w:cs="Times New Roman"/>
          <w:sz w:val="24"/>
          <w:szCs w:val="24"/>
          <w:lang w:eastAsia="ar-SA"/>
        </w:rPr>
        <w:t xml:space="preserve"> опубликованную в соответствии с действующим законодательством или путем размещения соответствующих документов, отражающих произведенные изменения в соответствии с порядком, предусмотренным действующим законодательством.</w:t>
      </w:r>
    </w:p>
    <w:p w14:paraId="038F790C">
      <w:pPr>
        <w:spacing w:after="0" w:line="240" w:lineRule="auto"/>
        <w:ind w:firstLine="709"/>
        <w:jc w:val="both"/>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ar-SA"/>
        </w:rPr>
        <w:t>Участник долевого строительства согласен с тем, что Застройщик вправе вносить изменения в проектную и градостроительную документацию. Во избежание сомнений, Участник долевого строительства подтверждает, что изменения конструктивных решений, конфигураций, площади объекта долевого строительства Стороны не признают существенными, за исключением случаев, прямо предусмотренных Договором и действующим законодательством Российской Федерации.</w:t>
      </w:r>
    </w:p>
    <w:p w14:paraId="322371EA">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 xml:space="preserve">4.2.2. Подписывая настоящий Договор, Участник долевого строительства дает Застройщику и/или иным лицам, в чьей собственности находится или будет находиться земельный участок, указанный в п. 1.2. настоящего Договора, свое согласие на объединение земельного участка, перераспределение земельного участка, раздел земельного участка и выдел из земельного участка других (другого) земельных участков под строящийся Объект капитального строительства и иные объекты недвижимости (жилые дома, автостоянки и т.п.), под объекты инженерной, социальной и транспортной инфраструктуры, строящиеся на земельном участке и не относящиеся к общему имуществу Объекта капитального строительства, и/или в целях ввода Объекта капитального строительства в эксплуатацию (отдельных этапов и/или очередей строительства), и на последующую государственную регистрацию права аренды/права собственности Застройщика и/или иных лиц на образуемые (измененные) земельные участки, а также сервитутов. </w:t>
      </w:r>
    </w:p>
    <w:p w14:paraId="14D5EC76">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4.2.3. Во избежание сомнений, Участник долевого строительства подтверждает, что уведомлен и согласен с тем, что Застройщик вправе, при условии обеспечения надлежащего качества Объекта долевого строительства, вносить изменения в проектную документацию на любой стадии строительства, в том числе, но не исключительно: изменения в отношении количества этапов строительства, изменения в отношении общей площади квартир в Объекте капитального строительства и/или отдельном этапе (этапах) строительства Объекта капитального строительства, изменения общей площади нежилых помещений, изменения в технологию строительства, изменения состава и/или марки строительных и отделочных материалов на аналогичные или сравнимые, изменения состава и/или марки оборудования, изменения архитектурных решений Объекта капитального строительства, в том числе увеличения этажности, изменения решений отделки помещений общественного назначения, количества входов, а также изменения элементов благоустройства придомовой территории.</w:t>
      </w:r>
    </w:p>
    <w:p w14:paraId="6DDD2529">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Во избежание сомнений, Участник долевого строительства подтверждает, что принятие им решения о заключении настоящего Договора и согласии с характеристиками Объекта долевого строительства не зависит от внесения вышеуказанных изменений. Стороны Договора признают изменения, указанные в настоящем пункте Договора, несущественными и не требующими изменения Договора.</w:t>
      </w:r>
    </w:p>
    <w:p w14:paraId="57E77BDF">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 xml:space="preserve">Участник долевого строительства подтверждает и подписанием настоящего Договора дает свое письменное согласие на внесение изменений Застройщиком в объекты капитального строительства с коммерческим обозначением – </w:t>
      </w:r>
      <w:r>
        <w:rPr>
          <w:rFonts w:ascii="Times New Roman" w:hAnsi="Times New Roman" w:eastAsia="Calibri" w:cs="Times New Roman"/>
          <w:sz w:val="24"/>
          <w:szCs w:val="24"/>
          <w:lang w:eastAsia="ar-SA"/>
        </w:rPr>
        <w:t>Жилой комплекс ДЗЕНПАРК (ЖК ДЗЕНПАРК),</w:t>
      </w:r>
      <w:r>
        <w:rPr>
          <w:rFonts w:ascii="Times New Roman" w:hAnsi="Times New Roman" w:eastAsia="Arial CYR" w:cs="Times New Roman"/>
          <w:sz w:val="24"/>
          <w:szCs w:val="24"/>
        </w:rPr>
        <w:t xml:space="preserve"> (в том числе указанных в п.</w:t>
      </w:r>
      <w:r>
        <w:t xml:space="preserve"> </w:t>
      </w:r>
      <w:r>
        <w:rPr>
          <w:rFonts w:ascii="Times New Roman" w:hAnsi="Times New Roman" w:eastAsia="Arial CYR" w:cs="Times New Roman"/>
          <w:sz w:val="24"/>
          <w:szCs w:val="24"/>
        </w:rPr>
        <w:t>4.2.1., 4.2.2., 4.2.3.,4.2.4., 4.2.5. Договора, но не ограничиваясь), и обязуется не препятствовать строительству (внесению изменений в объекты капитального строительства, входящее в комплексную жилую застройку), эксплуатации по завершению строительства всех объектов этого комплекса, в том числе установки конструкций с логотипом-символом Застройщика.</w:t>
      </w:r>
    </w:p>
    <w:p w14:paraId="6687FC17">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4.2.4. Участник долевого строительства уведомлен и согласен с тем, что в процессе строительства Объекта недвижимости возможны архитектурные, структурные и иные изменения, замена строительных материалов и оборудования, изменение расположения и выполнения электрических щитков, стояков отопления, вентиляционных и иных шахт и прочего оборудования в Объекте долевого строительства (в том числе изменение решения о наличии/отсутствии  каркасов, пилонов указанного оборудования), а также другие изменения, осуществляющиеся путем внесения изменений и (или) корректировок в проектную документацию Объекта капитального строительства в порядке, предусмотренном действующим законодательством РФ. Стороны пришли к соглашению, что изменения Объекта долевого строительства не являются существенными, если в результате их выполнения площадь Объекта долевого строительства изменится в пределах пяти процентов по отношению к проектной площади.</w:t>
      </w:r>
    </w:p>
    <w:p w14:paraId="09DEF5A5">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 xml:space="preserve">4.2.5. Подписывая настоящий договор Участник долевого строительства, выражает свое письменное согласие на внесение Застройщиком изменений, указанных в п. 4.2.1., 4.2.2., 4.2.3.,4.2.4., 4.2.5. Договора в проектную документацию, в том числе в части увеличения количества этажей </w:t>
      </w:r>
      <w:r>
        <w:t xml:space="preserve">в </w:t>
      </w:r>
      <w:r>
        <w:rPr>
          <w:rFonts w:ascii="Times New Roman" w:hAnsi="Times New Roman" w:eastAsia="Arial CYR" w:cs="Times New Roman"/>
          <w:sz w:val="24"/>
          <w:szCs w:val="24"/>
        </w:rPr>
        <w:t xml:space="preserve">Объекте капитального строительства. </w:t>
      </w:r>
    </w:p>
    <w:p w14:paraId="54698D88">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4.3. Участник долевого строительства обязуется:</w:t>
      </w:r>
    </w:p>
    <w:p w14:paraId="70678986">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4.3.1. Своевременно уплатить в полном объеме Цену договора. </w:t>
      </w:r>
    </w:p>
    <w:p w14:paraId="43FFCE70">
      <w:pPr>
        <w:spacing w:after="0" w:line="240" w:lineRule="auto"/>
        <w:ind w:firstLine="709"/>
        <w:jc w:val="both"/>
        <w:rPr>
          <w:rFonts w:ascii="Times New Roman" w:hAnsi="Times New Roman" w:eastAsia="Lucida Sans Unicode" w:cs="Times New Roman"/>
          <w:sz w:val="24"/>
          <w:szCs w:val="24"/>
        </w:rPr>
      </w:pPr>
      <w:r>
        <w:rPr>
          <w:rFonts w:ascii="Times New Roman" w:hAnsi="Times New Roman" w:eastAsia="Arial CYR" w:cs="Times New Roman"/>
          <w:sz w:val="24"/>
          <w:szCs w:val="24"/>
          <w:lang w:eastAsia="ar-SA"/>
        </w:rPr>
        <w:t>4.3.2. П</w:t>
      </w:r>
      <w:r>
        <w:rPr>
          <w:rFonts w:ascii="Times New Roman" w:hAnsi="Times New Roman" w:eastAsia="Lucida Sans Unicode" w:cs="Times New Roman"/>
          <w:sz w:val="24"/>
          <w:szCs w:val="24"/>
        </w:rPr>
        <w:t>ринять Объект долевого строительства на условиях, предусмотренных ч. 6 настоящего договора.</w:t>
      </w:r>
    </w:p>
    <w:p w14:paraId="479F7228">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 xml:space="preserve">4.3.3. </w:t>
      </w:r>
      <w:bookmarkStart w:id="25" w:name="_Hlk14191314"/>
      <w:r>
        <w:rPr>
          <w:rFonts w:ascii="Times New Roman" w:hAnsi="Times New Roman" w:eastAsia="Arial CYR" w:cs="Times New Roman"/>
          <w:sz w:val="24"/>
          <w:szCs w:val="24"/>
        </w:rPr>
        <w:t>Нести расходы по содержанию Объекта долевого строительства, в том числе: своевременно производить оплату за содержание, текущий ремонт, капитальный ремонт, коммунальные услуги,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 Для этих целей Участник долевого строительства обязуется заключить договор на эксплуатацию и коммунальное обслуживание с выбранной Застройщиком организацией и открыть для этого лицевой счет в эксплуатирующей организации. Обязанность по уплате предусмотренных законом и договором на эксплуатацию и коммунальные услуги платежей возникает у Участника долевого строительства с момента подписания Акта приема-передачи, а при необоснованном уклонении от его подписания, в качестве ответственности за ненадлежащее исполнение и/или неисполнение своих обязательств по принятию Объекта долевого строительства, Участник долевого строительства компенсирует все возможные расходы на эксплуатацию и коммунальные услуги с момента получения Застройщиком разрешения на ввод в эксплуатацию Объекта капитального строительства. Стороны договорились, что Участник долевого строительства соглашается с подбором Застройщиком формы управления Объекта капитального строительства и эксплуатирующей организации для приемки и эксплуатации Объекта капитального строительства. Настоящим Участник долевого строительства выражает согласие на заключение в будущем договора на управление и эксплуатацию дома с организацией, предложенной Застройщиком.</w:t>
      </w:r>
    </w:p>
    <w:p w14:paraId="4AEB4FB5">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Уклонение Участником долевого строительства от заключения с эксплуатирующей организацией договоров на эксплуатацию Объекта долевого строительства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организацией затрат, связанных с эксплуатацией Объекта долевого строительства и Объекта капитального строительства, соразмерно площади Объекта долевого строительства и соответствующей доли общего имущества в Объекте капитального строительства.</w:t>
      </w:r>
      <w:bookmarkEnd w:id="25"/>
    </w:p>
    <w:p w14:paraId="405DB12A">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4.3.4. В течении 2 (двух) месяцев с даты подписания Акта приема-передачи, самостоятельно и за свой счет зарегистрировать право собственности на Объект долевого строительства.</w:t>
      </w:r>
    </w:p>
    <w:p w14:paraId="65626D00">
      <w:pPr>
        <w:spacing w:after="0" w:line="240" w:lineRule="auto"/>
        <w:ind w:firstLine="709"/>
        <w:jc w:val="both"/>
        <w:rPr>
          <w:rFonts w:ascii="Times New Roman" w:hAnsi="Times New Roman" w:eastAsia="Lucida Sans Unicode" w:cs="Times New Roman"/>
          <w:sz w:val="24"/>
          <w:szCs w:val="24"/>
        </w:rPr>
      </w:pPr>
      <w:r>
        <w:rPr>
          <w:rFonts w:ascii="Times New Roman" w:hAnsi="Times New Roman" w:eastAsia="Lucida Sans Unicode" w:cs="Times New Roman"/>
          <w:sz w:val="24"/>
          <w:szCs w:val="24"/>
        </w:rPr>
        <w:t xml:space="preserve">4.3.5. Не производить перепланировку фасада Объекта капитального строительства, внутренних помещений Объекта долевого строительства, мест общего пользования, не производить перенос стен, дверных проемов, вытяжных коробов, приборов учета коммунальных услуг, остекление балконов и лоджий, замены конструкций и назначения помещений, не демонтировать датчики противопожарной сигнализации. </w:t>
      </w:r>
    </w:p>
    <w:p w14:paraId="0BFC838D">
      <w:pPr>
        <w:spacing w:after="0" w:line="240" w:lineRule="auto"/>
        <w:ind w:firstLine="709"/>
        <w:jc w:val="both"/>
        <w:rPr>
          <w:rFonts w:ascii="Times New Roman" w:hAnsi="Times New Roman" w:eastAsia="Lucida Sans Unicode" w:cs="Times New Roman"/>
          <w:sz w:val="24"/>
          <w:szCs w:val="24"/>
        </w:rPr>
      </w:pPr>
      <w:r>
        <w:rPr>
          <w:rFonts w:ascii="Times New Roman" w:hAnsi="Times New Roman" w:eastAsia="Lucida Sans Unicode" w:cs="Times New Roman"/>
          <w:sz w:val="24"/>
          <w:szCs w:val="24"/>
        </w:rPr>
        <w:t>4.3.6. В случае если Участником долевого строительства были произведены изменения конструктивных элементов или производство указанных в п. 4.3.5. настоящего Договора работ, Участник долевого строительства обязан своими силами и за свой счет в десятидневный срок с момента получения соответствующего требования Застройщика вернуть Квартиру в первоначальное состояние и уплатить Застройщику штраф в размере 10 процентов от цены, указанной в п. 3.2 настоящего Договора. В случае нарушения срока, установленного настоящим пунктом, Застройщик вправе самостоятельно привести Квартиру в первоначальное состояние, при этом помимо штрафа, установленного настоящим пунктом, Участник долевого строительства обязан возместить Застройщику затраты, вызванные приведением Квартиры в первоначальное состояние.</w:t>
      </w:r>
    </w:p>
    <w:p w14:paraId="714F76EF">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4.4. Обязательства Застройщика, за исключением гарантийных обязательств, считаются исполненными с момента подписания Сторонами Акта приема-передачи Объекта долевого строительства.</w:t>
      </w:r>
    </w:p>
    <w:p w14:paraId="1092B04E">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lang w:eastAsia="ar-SA"/>
        </w:rPr>
        <w:t>4.5. Обязательства Участника долевого строительства считаются исполненными с момента уплаты в полном объеме денежных средств в соответствии с настоящим договором и подписания Сторонами Акта приема-передачи</w:t>
      </w:r>
      <w:r>
        <w:rPr>
          <w:rFonts w:ascii="Times New Roman" w:hAnsi="Times New Roman" w:eastAsia="Arial CYR" w:cs="Times New Roman"/>
          <w:sz w:val="24"/>
          <w:szCs w:val="24"/>
        </w:rPr>
        <w:t xml:space="preserve"> Объекта долевого участия.</w:t>
      </w:r>
    </w:p>
    <w:p w14:paraId="66824F04">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4.6. Подписывая настоящий Договор, Участник долевого строительства дает Застройщику и/или иным лицам, в чьей собственности находится или будет находиться земельный участок, указанный в п. 1.2. настоящего Договора, свое согласие на объединение земельного участка(ов), перераспределение земельного участка(ов), раздел земельного участка(ов) и выдел из земельного участка(ов) других (другого) земельных участков под строящийся Объект капитального строительства и иные объекты недвижимости (жилые дома, автостоянки и т.п.), под объекты инженерной, социальной и транспортной инфраструктуры, строящиеся на земельном участке(ах) и не относящиеся к общему имуществу Объекта капитального строительства, и/или в целях ввода Объекта капитального строительства в эксплуатацию (отдельных этапов и/или очередей строительства), и на последующую государственную регистрацию права аренды/права собственности Застройщика и/или иных лиц на образуемые (измененные) земельные участки. Участник долевого строительства, так же дает письменное согласие Застройщику и/или иным лицам, в чьей собственности находится или будет находиться земельный участок, указанный в п. 1.2. настоящего Договора, на постановку (снятие) на кадастровый учет земельного участка(ов) с измененными характеристиками. </w:t>
      </w:r>
    </w:p>
    <w:p w14:paraId="301E2C83">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4.7. Подписывая настоящий договор долевого участия Участник долевого строительства дает свое письменное согласие Застройщику на передачу инженерных сетей, обслуживающих Объект капитального строительства, входящих в состав общего имущества Объекта капитального строительства, путем заключения договора купли-продажи/аренды за цену по своему усмотрению и/или непосредственной передачи на баланс специализированных предприятий для их дальнейшей эксплуатации и обслуживания.</w:t>
      </w:r>
    </w:p>
    <w:p w14:paraId="109E7230">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4.8. В случае изменения регистрации или фактического нахождения Участника долевого строительства, или правопреемника, Участник долевого строительства или правопреемник обязан в течении 10 (десяти) календарных дней письменно уведомить Застройщика об изменении адреса регистрации или фактического нахождения.</w:t>
      </w:r>
      <w:r>
        <w:t xml:space="preserve"> </w:t>
      </w:r>
      <w:r>
        <w:rPr>
          <w:rFonts w:ascii="Times New Roman" w:hAnsi="Times New Roman" w:eastAsia="Arial CYR" w:cs="Times New Roman"/>
          <w:sz w:val="24"/>
          <w:szCs w:val="24"/>
          <w:lang w:eastAsia="ar-SA"/>
        </w:rPr>
        <w:t>Все негативные последствия не уведомления Застройщика об изменении адреса несет Участник</w:t>
      </w:r>
      <w:r>
        <w:t xml:space="preserve"> </w:t>
      </w:r>
      <w:r>
        <w:rPr>
          <w:rFonts w:ascii="Times New Roman" w:hAnsi="Times New Roman" w:eastAsia="Arial CYR" w:cs="Times New Roman"/>
          <w:sz w:val="24"/>
          <w:szCs w:val="24"/>
          <w:lang w:eastAsia="ar-SA"/>
        </w:rPr>
        <w:t xml:space="preserve">долевого строительства. </w:t>
      </w:r>
    </w:p>
    <w:p w14:paraId="298F51B0">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4.9. В соответствии со ст. 6 Федерального закона от 27.07.2006 N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14:paraId="7A3D93E4">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Застройщик вправе производить обработку указанных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 </w:t>
      </w:r>
    </w:p>
    <w:p w14:paraId="275F928F">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18862DD3">
      <w:pPr>
        <w:spacing w:after="0" w:line="240" w:lineRule="auto"/>
        <w:ind w:firstLine="709"/>
        <w:jc w:val="both"/>
        <w:rPr>
          <w:rFonts w:ascii="Times New Roman" w:hAnsi="Times New Roman" w:eastAsia="Arial CYR" w:cs="Times New Roman"/>
          <w:sz w:val="24"/>
          <w:szCs w:val="24"/>
          <w:lang w:eastAsia="ar-SA"/>
        </w:rPr>
      </w:pPr>
      <w:bookmarkStart w:id="26" w:name="_Hlk14191448"/>
      <w:r>
        <w:rPr>
          <w:rFonts w:ascii="Times New Roman" w:hAnsi="Times New Roman" w:eastAsia="Arial CYR" w:cs="Times New Roman"/>
          <w:sz w:val="24"/>
          <w:szCs w:val="24"/>
          <w:lang w:eastAsia="ar-SA"/>
        </w:rPr>
        <w:t>Подписывая настоящий договор долевого участия Участник долевого строительства выражает письменное согласие на возможную передачу указанных персональных данных третьим лицам, действующим на основе существующих/ будущих соглашений о неразглашении конфиденциальных и персональных данных в связи с сотрудничеством в рамках исполнения настоящего Договора ( в том числе в соответствии с п. 4.3.3. Договора), при этом Застройщик гарантирует, что персональные данные субъекта персональных данных не будут предоставляться никаким иным третьим лицам для целей, не связанных с настоящим Договором.</w:t>
      </w:r>
      <w:bookmarkEnd w:id="26"/>
    </w:p>
    <w:p w14:paraId="6E98C221">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Подписывая настоящий договор долевого участия, Участник долевого строительства выражает письменное согласие на обработку Застройщиком персональных данных Участника долевого строительства, указанных в настоящем пункте договора после исполнения настоящего договора в течение 5 (пяти) лет, с целью выполнения информационно-справочного обслуживания Участника долевого строительства, контроля качества переданного Объекта долевого строительства.</w:t>
      </w:r>
    </w:p>
    <w:p w14:paraId="540474CC">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 </w:t>
      </w:r>
    </w:p>
    <w:p w14:paraId="4A018F59">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4.10. Осуществить действия, направленные на государственную регистрацию настоящего Договора в регистрирующем органе, в том числе, в случае осуществления электронной регистрации настоящего Договора предоставить Застройщику информацию, необходимую для электронной регистрации настоящего Договора, не позднее 7 (Семи) рабочих дней с даты подписания настоящего Договора.</w:t>
      </w:r>
    </w:p>
    <w:p w14:paraId="38E52FFC">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В случае если в указанный срок Участник долевого строительства не совершит вышеуказанные действия и не представит Застройщику запрашиваемую информацию, настоящий Договор считается незаключенным и не подлежит государственной регистрации.</w:t>
      </w:r>
    </w:p>
    <w:p w14:paraId="4B6EAA8B">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4.11. </w:t>
      </w:r>
      <w:bookmarkEnd w:id="23"/>
      <w:r>
        <w:rPr>
          <w:rFonts w:ascii="Times New Roman" w:hAnsi="Times New Roman" w:eastAsia="Arial CYR" w:cs="Times New Roman"/>
          <w:sz w:val="24"/>
          <w:szCs w:val="24"/>
          <w:lang w:eastAsia="ar-SA"/>
        </w:rPr>
        <w:t>Участник долевого строительства подтверждает, что уведомлен и согласен с тем, что Застройщик вправе, при условии обеспечения надлежащего качества Объекта долевого строительства, вносить изменения в проектную документацию на любой стадии строительства, в том числе, но не исключительно: изменения в отношении количества этапов строительства, изменения в отношении общей площади квартир в Объекте капитального строительства и/или отдельном этапе (этапах) строительства Объекта капитального строительства, изменения общей площади нежилых помещений, изменения в технологию строительства, изменения состава и/или марки строительных и отделочных материалов на аналогичные или сравнимые, изменения состава и/или марки оборудования, изменения архитектурных и конструктивных решений Объекта капитального строительства, изменения решений отделки помещений общественного назначения, количества входов, а также изменения элементов благоустройства придомовой территории.</w:t>
      </w:r>
    </w:p>
    <w:p w14:paraId="6F9161B9">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Во избежание сомнений, Участник долевого строительства подтверждает, что принятие им решения о заключении настоящего Договора и согласии с характеристиками Объекта долевого строительства не зависит от внесения вышеуказанных изменений. Стороны Договора признают изменения, указанные в настоящем пункте Договора, несущественными и не требующими изменения Договора.</w:t>
      </w:r>
    </w:p>
    <w:p w14:paraId="375EDE22">
      <w:pPr>
        <w:spacing w:after="0" w:line="240" w:lineRule="auto"/>
        <w:ind w:firstLine="426"/>
        <w:jc w:val="both"/>
        <w:rPr>
          <w:rFonts w:ascii="Times New Roman" w:hAnsi="Times New Roman" w:eastAsia="Arial CYR" w:cs="Times New Roman"/>
          <w:sz w:val="24"/>
          <w:szCs w:val="24"/>
          <w:highlight w:val="yellow"/>
          <w:lang w:eastAsia="ar-SA"/>
        </w:rPr>
      </w:pPr>
      <w:r>
        <w:rPr>
          <w:rFonts w:ascii="Times New Roman" w:hAnsi="Times New Roman" w:eastAsia="Arial CYR" w:cs="Times New Roman"/>
          <w:sz w:val="24"/>
          <w:szCs w:val="24"/>
          <w:lang w:eastAsia="ar-SA"/>
        </w:rPr>
        <w:t>4.12.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14:paraId="4D7C95CB">
      <w:pPr>
        <w:spacing w:after="0" w:line="240" w:lineRule="auto"/>
        <w:ind w:firstLine="426"/>
        <w:jc w:val="center"/>
        <w:rPr>
          <w:rFonts w:ascii="Times New Roman" w:hAnsi="Times New Roman" w:eastAsia="Arial CYR" w:cs="Times New Roman"/>
          <w:sz w:val="24"/>
          <w:szCs w:val="24"/>
          <w:lang w:eastAsia="ar-SA"/>
        </w:rPr>
      </w:pPr>
      <w:r>
        <w:rPr>
          <w:rFonts w:ascii="Times New Roman" w:hAnsi="Times New Roman" w:eastAsia="Calibri" w:cs="Times New Roman"/>
          <w:b/>
          <w:sz w:val="24"/>
          <w:szCs w:val="24"/>
          <w:lang w:eastAsia="ar-SA"/>
        </w:rPr>
        <w:t>5. ГАРАНТИИ КАЧЕСТВА</w:t>
      </w:r>
      <w:r>
        <w:rPr>
          <w:rFonts w:ascii="Times New Roman" w:hAnsi="Times New Roman" w:eastAsia="Arial CYR" w:cs="Times New Roman"/>
          <w:sz w:val="24"/>
          <w:szCs w:val="24"/>
          <w:lang w:eastAsia="ar-SA"/>
        </w:rPr>
        <w:t xml:space="preserve"> </w:t>
      </w:r>
    </w:p>
    <w:p w14:paraId="3F8B659D">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5.1. Объект долевого строительства должен соответствовать требованиям технических регламентов, проектной документации и градостроительных регламентов.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 </w:t>
      </w:r>
    </w:p>
    <w:p w14:paraId="61C5FBD8">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5.2. В случае, если Объект долевого строительства построен с отступлениями от вышеуказанных требований, приведших к ухудшению качества, или с иными недостатками, которые делают его непригодным для предусмотренного договором использования, Участник долевого строительства вправе потребовать от Застройщика только безвозмездного устранения недостатков в разумный срок, исчисляемый с даты письменного обращения Участника долевого строительства.</w:t>
      </w:r>
    </w:p>
    <w:p w14:paraId="035B7613">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lang w:eastAsia="ar-SA"/>
        </w:rPr>
        <w:t xml:space="preserve">5.3. </w:t>
      </w:r>
      <w:r>
        <w:rPr>
          <w:rFonts w:ascii="Times New Roman" w:hAnsi="Times New Roman" w:eastAsia="Arial CYR" w:cs="Times New Roman"/>
          <w:sz w:val="24"/>
          <w:szCs w:val="24"/>
        </w:rPr>
        <w:t xml:space="preserve">Свидетельством надлежащего качества Объекта долевого строительства и соответствия его условиям настоящего договора, требованиям технических регламентов и проектной документации является Разрешение на ввод в эксплуатацию Объекта капитального строительства, полученное Застройщиком в установленном действующим законодательством РФ порядке. </w:t>
      </w:r>
    </w:p>
    <w:p w14:paraId="66CD59E4">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 xml:space="preserve">5.4. Гарантийный срок на Объект долевого строительства, за исключением технологического и инженерного оборудования, входящего в состав такого Объекта долевого строительства, составляет 3 (три) года, </w:t>
      </w:r>
      <w:r>
        <w:rPr>
          <w:rFonts w:ascii="Times New Roman" w:hAnsi="Times New Roman" w:cs="Times New Roman"/>
          <w:color w:val="000000"/>
          <w:sz w:val="24"/>
          <w:szCs w:val="24"/>
          <w:shd w:val="clear" w:color="auto" w:fill="FFFFFF"/>
        </w:rPr>
        <w:t>исчисляется со дня передачи объекта долевого строительства</w:t>
      </w:r>
      <w:r>
        <w:rPr>
          <w:rFonts w:ascii="Times New Roman" w:hAnsi="Times New Roman" w:eastAsia="Arial CYR" w:cs="Times New Roman"/>
          <w:sz w:val="24"/>
          <w:szCs w:val="24"/>
        </w:rPr>
        <w:t>.</w:t>
      </w:r>
    </w:p>
    <w:p w14:paraId="6EFE795C">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Гарантийный срок на технологическое и инженерное оборудование, входящее в состав передаваемого Объекта долевого строительства, составляет 3 (три) года. Указанный гарантийный срок исчисляется со дня подписания первого Акта приема-передачи Объекта долевого участия в Объекте капитального строительства.</w:t>
      </w:r>
    </w:p>
    <w:p w14:paraId="3382B017">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Перечень технологического и инженерного оборудования указывается в инструкции по эксплуатации объекта долевого строительства/Объекта капитального строительства.</w:t>
      </w:r>
    </w:p>
    <w:p w14:paraId="37AA2AF6">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Гарантийный срок на оконные блоки, входные двери, на отделочные работы и элементы внутренней отделки, указанной в Приложении № 2 к настоящему договору, не может превышать гарантийный срок, установленный на них производителями (поставщиками), и исчисляется со дня подписания первого акта приема-передачи Объекта долевого строительства.</w:t>
      </w:r>
    </w:p>
    <w:p w14:paraId="163EF995">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5.4.1. Гарантийный срок на внутреннюю отделку Объекта долевого строительства составляет 6 (шесть) месяцев, Застройщик несет ответственность за недостатки внутренней отделки (ремонта), обнаруженные в пределах гарантийного срока, кроме недостатков, которые произошли вследствие нормального износа Объекта долевого строительства, усадки, ненадлежащего ремонта, произведенного самим Участником долевого строительства или привлеченными им третьими лицами. Указанный гарантийный срок исчисляется со дня подписания первого Акта приема-передачи Объекта долевого участия в Объекте капитального строительства.</w:t>
      </w:r>
    </w:p>
    <w:p w14:paraId="08F99748">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5.5. 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и/или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(включая переустройство, перепланировку), проведенного самим Участником долевого строительства или привлеченными им третьими лицами. В частности, Застройщик не несет ответственность за недостатки инженерного оборудования, если будет установлено, что Участник долевого строительства в пределах гарантийного срока менял места прохождения стояков водоснабжения, канализационных стояков, трубопроводов и радиаторов отопления без согласования этого с уполномоченными органами и проектными организациями, имеющими соответствующие разрешения, заменял указанные стояки и радиаторы на другие, не предусмотренные проектной документацией на Объект капитального строительства, производил изменения в системе электроснабжения Объекта долевого строительства.</w:t>
      </w:r>
    </w:p>
    <w:p w14:paraId="6B4612A6">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5.6. Выявление недостатков Объекта долевого строительства, которые не делают его не пригодным для использования по назначению, не является основанием для отказа от принятия Участником долевого строительства Объекта долевого строительства. В этом случае устранение недостатков осуществляется в рамках гарантийных обязательств Застройщика.</w:t>
      </w:r>
    </w:p>
    <w:p w14:paraId="7A464ACF">
      <w:pPr>
        <w:spacing w:after="0" w:line="240" w:lineRule="auto"/>
        <w:ind w:firstLine="426"/>
        <w:jc w:val="center"/>
        <w:rPr>
          <w:rFonts w:ascii="Times New Roman" w:hAnsi="Times New Roman" w:eastAsia="Calibri" w:cs="Times New Roman"/>
          <w:b/>
          <w:sz w:val="24"/>
          <w:szCs w:val="24"/>
          <w:lang w:eastAsia="ar-SA"/>
        </w:rPr>
      </w:pPr>
      <w:r>
        <w:rPr>
          <w:rFonts w:ascii="Times New Roman" w:hAnsi="Times New Roman" w:eastAsia="Calibri" w:cs="Times New Roman"/>
          <w:b/>
          <w:sz w:val="24"/>
          <w:szCs w:val="24"/>
          <w:lang w:eastAsia="ar-SA"/>
        </w:rPr>
        <w:t>6. ПЕРЕДАЧА ОБЪЕКТА ДОЛЕВОГО СТРОИТЕЛЬСТВА</w:t>
      </w:r>
    </w:p>
    <w:p w14:paraId="75B0E59A">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6.1. Передача Объекта долевого строительства осуществляется не ранее, чем после получения в установленном порядке разрешения на ввод в эксплуатацию Объекта капитального строительства. </w:t>
      </w:r>
    </w:p>
    <w:p w14:paraId="1E652F45">
      <w:pPr>
        <w:spacing w:after="0" w:line="240" w:lineRule="auto"/>
        <w:ind w:firstLine="709"/>
        <w:jc w:val="both"/>
        <w:rPr>
          <w:rFonts w:ascii="Times New Roman" w:hAnsi="Times New Roman" w:eastAsia="Arial CYR" w:cs="Times New Roman"/>
          <w:b/>
          <w:bCs/>
          <w:sz w:val="24"/>
          <w:szCs w:val="24"/>
          <w:lang w:eastAsia="ar-SA"/>
        </w:rPr>
      </w:pPr>
      <w:r>
        <w:rPr>
          <w:rFonts w:ascii="Times New Roman" w:hAnsi="Times New Roman" w:eastAsia="Arial CYR" w:cs="Times New Roman"/>
          <w:sz w:val="24"/>
          <w:szCs w:val="24"/>
        </w:rPr>
        <w:t xml:space="preserve">6.2. </w:t>
      </w:r>
      <w:r>
        <w:rPr>
          <w:rFonts w:ascii="Times New Roman" w:hAnsi="Times New Roman" w:eastAsia="Arial CYR" w:cs="Times New Roman"/>
          <w:sz w:val="24"/>
          <w:szCs w:val="24"/>
          <w:lang w:eastAsia="ar-SA"/>
        </w:rPr>
        <w:t xml:space="preserve">Застройщик обязуется при условии выполнения денежных обязательств Участником долевого строительства передать Объект долевого строительства по Акту приема-передачи в </w:t>
      </w:r>
      <w:bookmarkStart w:id="27" w:name="_Hlk27155640"/>
      <w:r>
        <w:rPr>
          <w:rFonts w:ascii="Times New Roman" w:hAnsi="Times New Roman" w:eastAsia="Arial CYR" w:cs="Times New Roman"/>
          <w:b/>
          <w:bCs/>
          <w:sz w:val="24"/>
          <w:szCs w:val="24"/>
          <w:lang w:eastAsia="ar-SA"/>
        </w:rPr>
        <w:t>2 квартале 202</w:t>
      </w:r>
      <w:r>
        <w:rPr>
          <w:rFonts w:hint="default" w:ascii="Times New Roman" w:hAnsi="Times New Roman" w:eastAsia="Arial CYR" w:cs="Times New Roman"/>
          <w:b/>
          <w:bCs/>
          <w:sz w:val="24"/>
          <w:szCs w:val="24"/>
          <w:lang w:val="ru-RU" w:eastAsia="ar-SA"/>
        </w:rPr>
        <w:t>7</w:t>
      </w:r>
      <w:r>
        <w:rPr>
          <w:rFonts w:ascii="Times New Roman" w:hAnsi="Times New Roman" w:eastAsia="Arial CYR" w:cs="Times New Roman"/>
          <w:b/>
          <w:bCs/>
          <w:sz w:val="24"/>
          <w:szCs w:val="24"/>
          <w:lang w:eastAsia="ar-SA"/>
        </w:rPr>
        <w:t xml:space="preserve"> года, но не позднее 30.06.202</w:t>
      </w:r>
      <w:r>
        <w:rPr>
          <w:rFonts w:hint="default" w:ascii="Times New Roman" w:hAnsi="Times New Roman" w:eastAsia="Arial CYR" w:cs="Times New Roman"/>
          <w:b/>
          <w:bCs/>
          <w:sz w:val="24"/>
          <w:szCs w:val="24"/>
          <w:lang w:val="ru-RU" w:eastAsia="ar-SA"/>
        </w:rPr>
        <w:t>7</w:t>
      </w:r>
      <w:r>
        <w:rPr>
          <w:rFonts w:ascii="Times New Roman" w:hAnsi="Times New Roman" w:eastAsia="Arial CYR" w:cs="Times New Roman"/>
          <w:b/>
          <w:bCs/>
          <w:sz w:val="24"/>
          <w:szCs w:val="24"/>
          <w:lang w:eastAsia="ar-SA"/>
        </w:rPr>
        <w:t xml:space="preserve"> года</w:t>
      </w:r>
      <w:bookmarkEnd w:id="27"/>
      <w:r>
        <w:rPr>
          <w:rFonts w:ascii="Times New Roman" w:hAnsi="Times New Roman" w:eastAsia="Arial CYR" w:cs="Times New Roman"/>
          <w:b/>
          <w:bCs/>
          <w:sz w:val="24"/>
          <w:szCs w:val="24"/>
          <w:lang w:eastAsia="ar-SA"/>
        </w:rPr>
        <w:t>.</w:t>
      </w:r>
    </w:p>
    <w:p w14:paraId="2AD33A51">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Застройщик вправе досрочно исполнить обязательство по передаче Объекта долевого строительства.</w:t>
      </w:r>
    </w:p>
    <w:p w14:paraId="0470FD83">
      <w:pPr>
        <w:spacing w:after="0" w:line="240" w:lineRule="auto"/>
        <w:ind w:firstLine="709"/>
        <w:jc w:val="both"/>
        <w:rPr>
          <w:rFonts w:ascii="Times New Roman" w:hAnsi="Times New Roman" w:eastAsia="Arial CYR" w:cs="Times New Roman"/>
          <w:b/>
          <w:bCs/>
          <w:sz w:val="24"/>
          <w:szCs w:val="24"/>
          <w:lang w:eastAsia="ar-SA"/>
        </w:rPr>
      </w:pPr>
      <w:r>
        <w:rPr>
          <w:rFonts w:ascii="Times New Roman" w:hAnsi="Times New Roman" w:eastAsia="Arial CYR" w:cs="Times New Roman"/>
          <w:sz w:val="24"/>
          <w:szCs w:val="24"/>
        </w:rPr>
        <w:t xml:space="preserve">Начало передачи Объекта долевого строительства определяется в соответствии с п. 6.5 настоящего Договора, а окончание – </w:t>
      </w:r>
      <w:r>
        <w:rPr>
          <w:rFonts w:ascii="Times New Roman" w:hAnsi="Times New Roman" w:eastAsia="Arial CYR" w:cs="Times New Roman"/>
          <w:b/>
          <w:bCs/>
          <w:sz w:val="24"/>
          <w:szCs w:val="24"/>
          <w:lang w:eastAsia="ar-SA"/>
        </w:rPr>
        <w:t>не позднее 30.06.202</w:t>
      </w:r>
      <w:r>
        <w:rPr>
          <w:rFonts w:hint="default" w:ascii="Times New Roman" w:hAnsi="Times New Roman" w:eastAsia="Arial CYR" w:cs="Times New Roman"/>
          <w:b/>
          <w:bCs/>
          <w:sz w:val="24"/>
          <w:szCs w:val="24"/>
          <w:lang w:val="ru-RU" w:eastAsia="ar-SA"/>
        </w:rPr>
        <w:t>7</w:t>
      </w:r>
      <w:r>
        <w:rPr>
          <w:rFonts w:ascii="Times New Roman" w:hAnsi="Times New Roman" w:eastAsia="Arial CYR" w:cs="Times New Roman"/>
          <w:b/>
          <w:bCs/>
          <w:sz w:val="24"/>
          <w:szCs w:val="24"/>
          <w:lang w:eastAsia="ar-SA"/>
        </w:rPr>
        <w:t xml:space="preserve"> года.</w:t>
      </w:r>
    </w:p>
    <w:p w14:paraId="7DBA3406">
      <w:pPr>
        <w:spacing w:after="0" w:line="240" w:lineRule="auto"/>
        <w:ind w:firstLine="709"/>
        <w:jc w:val="both"/>
        <w:rPr>
          <w:rFonts w:ascii="Times New Roman" w:hAnsi="Times New Roman" w:eastAsia="Lucida Sans Unicode" w:cs="Times New Roman"/>
          <w:sz w:val="24"/>
          <w:szCs w:val="24"/>
        </w:rPr>
      </w:pPr>
      <w:bookmarkStart w:id="28" w:name="_Hlk14197275"/>
      <w:r>
        <w:rPr>
          <w:rFonts w:ascii="Times New Roman" w:hAnsi="Times New Roman" w:eastAsia="Arial CYR" w:cs="Times New Roman"/>
          <w:sz w:val="24"/>
          <w:szCs w:val="24"/>
          <w:lang w:eastAsia="ar-SA"/>
        </w:rPr>
        <w:t>6.3. Стороны достигли соглашения о том, что Участник долевого строительства, получивший сообщение Застройщика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обязан приступить к его принятию в течение 7 (</w:t>
      </w:r>
      <w:r>
        <w:rPr>
          <w:rFonts w:ascii="Times New Roman" w:hAnsi="Times New Roman" w:eastAsia="Arial CYR" w:cs="Times New Roman"/>
          <w:color w:val="000000"/>
          <w:sz w:val="24"/>
          <w:szCs w:val="24"/>
          <w:lang w:eastAsia="ar-SA"/>
        </w:rPr>
        <w:t>семи) календарных</w:t>
      </w:r>
      <w:r>
        <w:rPr>
          <w:rFonts w:ascii="Times New Roman" w:hAnsi="Times New Roman" w:eastAsia="Arial CYR" w:cs="Times New Roman"/>
          <w:sz w:val="24"/>
          <w:szCs w:val="24"/>
          <w:lang w:eastAsia="ar-SA"/>
        </w:rPr>
        <w:t xml:space="preserve"> дней со дня получения указанного сообщения, н</w:t>
      </w:r>
      <w:r>
        <w:rPr>
          <w:rFonts w:ascii="Times New Roman" w:hAnsi="Times New Roman" w:eastAsia="Times New Roman" w:cs="Times New Roman"/>
          <w:color w:val="000000"/>
          <w:sz w:val="24"/>
          <w:szCs w:val="24"/>
          <w:lang w:eastAsia="ru-RU"/>
        </w:rPr>
        <w:t>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w:t>
      </w:r>
      <w:r>
        <w:rPr>
          <w:rFonts w:ascii="Times New Roman" w:hAnsi="Times New Roman" w:eastAsia="Arial CYR" w:cs="Times New Roman"/>
          <w:sz w:val="24"/>
          <w:szCs w:val="24"/>
          <w:lang w:eastAsia="ar-SA"/>
        </w:rPr>
        <w:t xml:space="preserve">. </w:t>
      </w:r>
      <w:r>
        <w:rPr>
          <w:rFonts w:ascii="Times New Roman" w:hAnsi="Times New Roman" w:eastAsia="Lucida Sans Unicode" w:cs="Times New Roman"/>
          <w:sz w:val="24"/>
          <w:szCs w:val="24"/>
        </w:rPr>
        <w:t xml:space="preserve">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недостатков Объекта долевого строительства) Застройщик, по истечении 7 (семи) календарных дней когда Застройщик получил подтверждение от </w:t>
      </w:r>
      <w:r>
        <w:rPr>
          <w:rFonts w:ascii="Times New Roman" w:hAnsi="Times New Roman" w:cs="Times New Roman"/>
          <w:color w:val="000000"/>
          <w:sz w:val="24"/>
          <w:szCs w:val="24"/>
          <w:shd w:val="clear" w:color="auto" w:fill="FFFFFF"/>
        </w:rPr>
        <w:t>оператора почтовой связи</w:t>
      </w:r>
      <w:r>
        <w:rPr>
          <w:rFonts w:ascii="Times New Roman" w:hAnsi="Times New Roman" w:eastAsia="Lucida Sans Unicode" w:cs="Times New Roman"/>
          <w:sz w:val="24"/>
          <w:szCs w:val="24"/>
        </w:rPr>
        <w:t xml:space="preserve"> о </w:t>
      </w:r>
      <w:r>
        <w:rPr>
          <w:rFonts w:ascii="Times New Roman" w:hAnsi="Times New Roman" w:cs="Times New Roman"/>
          <w:color w:val="000000"/>
          <w:sz w:val="24"/>
          <w:szCs w:val="24"/>
          <w:shd w:val="clear" w:color="auto" w:fill="FFFFFF"/>
        </w:rPr>
        <w:t xml:space="preserve">получении Участником долевого строительства сообщения о завершении строительства </w:t>
      </w:r>
      <w:r>
        <w:rPr>
          <w:rFonts w:ascii="Times New Roman" w:hAnsi="Times New Roman" w:eastAsia="Arial CYR" w:cs="Times New Roman"/>
          <w:sz w:val="24"/>
          <w:szCs w:val="24"/>
          <w:lang w:eastAsia="ar-SA"/>
        </w:rPr>
        <w:t>(создания) Объекта капитального строительства</w:t>
      </w:r>
      <w:r>
        <w:rPr>
          <w:rFonts w:ascii="Times New Roman" w:hAnsi="Times New Roman" w:cs="Times New Roman"/>
          <w:color w:val="000000"/>
          <w:sz w:val="24"/>
          <w:szCs w:val="24"/>
          <w:shd w:val="clear" w:color="auto" w:fill="FFFFFF"/>
        </w:rPr>
        <w:t xml:space="preserve"> (заказное письмо возвращено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либо сообщение о завершении строительства </w:t>
      </w:r>
      <w:r>
        <w:rPr>
          <w:rFonts w:ascii="Times New Roman" w:hAnsi="Times New Roman" w:eastAsia="Arial CYR" w:cs="Times New Roman"/>
          <w:sz w:val="24"/>
          <w:szCs w:val="24"/>
          <w:lang w:eastAsia="ar-SA"/>
        </w:rPr>
        <w:t>(создания) Объекта капитального строительства вручено Участнику долевого строительства лично либо доверенному лицу под расписку,</w:t>
      </w:r>
      <w:r>
        <w:rPr>
          <w:rFonts w:ascii="Times New Roman" w:hAnsi="Times New Roman" w:eastAsia="Lucida Sans Unicode" w:cs="Times New Roman"/>
          <w:sz w:val="24"/>
          <w:szCs w:val="24"/>
        </w:rPr>
        <w:t xml:space="preserve"> вправе составить односторонний Акт о передаче Объекта долевого строительства в одностороннем порядке. При этом риск случайной гибели Объекта долевого строительства признается перешедшими к Участнику долевого строительства со дня составления одностороннего Акта или иного документа о передаче Объекта долевого строительства. </w:t>
      </w:r>
    </w:p>
    <w:p w14:paraId="6B6AB52D">
      <w:pPr>
        <w:spacing w:after="0" w:line="240" w:lineRule="auto"/>
        <w:ind w:firstLine="709"/>
        <w:jc w:val="both"/>
        <w:rPr>
          <w:rFonts w:ascii="Times New Roman" w:hAnsi="Times New Roman" w:eastAsia="Lucida Sans Unicode" w:cs="Times New Roman"/>
          <w:sz w:val="24"/>
          <w:szCs w:val="24"/>
        </w:rPr>
      </w:pPr>
      <w:r>
        <w:rPr>
          <w:rFonts w:ascii="Times New Roman" w:hAnsi="Times New Roman" w:eastAsia="Lucida Sans Unicode" w:cs="Times New Roman"/>
          <w:sz w:val="24"/>
          <w:szCs w:val="24"/>
        </w:rPr>
        <w:t>В соответствии со статьей 165.1 ГК РФ датой уведомления Застройщиком Участника долевого строительства, не получившего или несвоевременно получившего сообщение Застройщика, указанное в п. 6.3 настоящего Договора, считается дата поступления сообщения в отделение почтовой связи по адресу Участника долевого строительства.</w:t>
      </w:r>
    </w:p>
    <w:p w14:paraId="77B567DF">
      <w:pPr>
        <w:spacing w:after="0" w:line="240" w:lineRule="auto"/>
        <w:ind w:firstLine="709"/>
        <w:jc w:val="both"/>
        <w:rPr>
          <w:rFonts w:ascii="Times New Roman" w:hAnsi="Times New Roman" w:eastAsia="Lucida Sans Unicode" w:cs="Times New Roman"/>
          <w:sz w:val="24"/>
          <w:szCs w:val="24"/>
        </w:rPr>
      </w:pPr>
      <w:r>
        <w:rPr>
          <w:rFonts w:ascii="Times New Roman" w:hAnsi="Times New Roman" w:eastAsia="Lucida Sans Unicode" w:cs="Times New Roman"/>
          <w:sz w:val="24"/>
          <w:szCs w:val="24"/>
        </w:rPr>
        <w:t xml:space="preserve">Дополнительно, Застройщик вправе уведомить Участника долевого строительства об указанных обстоятельствах посредством sms-информирования и/или посредством размещения указанной информации на сайте - </w:t>
      </w:r>
      <w:r>
        <w:fldChar w:fldCharType="begin"/>
      </w:r>
      <w:r>
        <w:instrText xml:space="preserve"> HYPERLINK </w:instrText>
      </w:r>
      <w:r>
        <w:fldChar w:fldCharType="separate"/>
      </w:r>
      <w:r>
        <w:rPr>
          <w:rStyle w:val="16"/>
          <w:rFonts w:ascii="Times New Roman" w:hAnsi="Times New Roman" w:cs="Times New Roman"/>
          <w:sz w:val="24"/>
          <w:szCs w:val="24"/>
          <w:shd w:val="clear" w:color="auto" w:fill="FFFFFF"/>
        </w:rPr>
        <w:t>https://lendex.group /</w:t>
      </w:r>
      <w:r>
        <w:rPr>
          <w:rStyle w:val="16"/>
          <w:rFonts w:ascii="Times New Roman" w:hAnsi="Times New Roman" w:cs="Times New Roman"/>
          <w:sz w:val="24"/>
          <w:szCs w:val="24"/>
          <w:shd w:val="clear" w:color="auto" w:fill="FFFFFF"/>
        </w:rPr>
        <w:fldChar w:fldCharType="end"/>
      </w:r>
      <w:r>
        <w:rPr>
          <w:rFonts w:ascii="Times New Roman" w:hAnsi="Times New Roman" w:eastAsia="Lucida Sans Unicode" w:cs="Times New Roman"/>
          <w:sz w:val="24"/>
          <w:szCs w:val="24"/>
        </w:rPr>
        <w:t>.</w:t>
      </w:r>
    </w:p>
    <w:p w14:paraId="055EBED7">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Стороны подтверждают, что Застройщик считается не нарушившим срок передачи</w:t>
      </w:r>
      <w:r>
        <w:t xml:space="preserve"> </w:t>
      </w:r>
      <w:r>
        <w:rPr>
          <w:rFonts w:ascii="Times New Roman" w:hAnsi="Times New Roman" w:eastAsia="Arial CYR" w:cs="Times New Roman"/>
          <w:sz w:val="24"/>
          <w:szCs w:val="24"/>
          <w:lang w:eastAsia="ar-SA"/>
        </w:rPr>
        <w:t>Объекта долевого строительства, если соответствующее сообщение будет направлено Участнику долевого строительства в пределах срока передачи</w:t>
      </w:r>
      <w:r>
        <w:t xml:space="preserve"> </w:t>
      </w:r>
      <w:r>
        <w:rPr>
          <w:rFonts w:ascii="Times New Roman" w:hAnsi="Times New Roman" w:eastAsia="Arial CYR" w:cs="Times New Roman"/>
          <w:sz w:val="24"/>
          <w:szCs w:val="24"/>
          <w:lang w:eastAsia="ar-SA"/>
        </w:rPr>
        <w:t>Объекта долевого строительства, а Участник долевого строительства получил его по истечении срока передачи.</w:t>
      </w:r>
    </w:p>
    <w:p w14:paraId="1ECBF614">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6.4. Стороны достигли соглашения о том, что в случае возникновения обстоятельств, указанных в п. 6.3 настоящего договора (составление одностороннего Акта о передаче Объекта долевого строительства в одностороннем порядке), Участник долевого строительства в качестве ответственности за ненадлежащее исполнение и/или неисполнение своих обязательств по принятию Объекта долевого строительства оплачивает все возможные расходы по содержанию Объекта капитального строительства и оплате коммунальных платежей за Объект долевого строительства соразмерно его доле в праве общей долевой собственности, начиная с даты получения разрешения на ввод в эксплуатацию Объекта капитального строительства.</w:t>
      </w:r>
    </w:p>
    <w:p w14:paraId="11AC2B0B">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6.5.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С момента передачи Объекта долевого строительства обязанность охраны, содержания, риск случайной гибели или повреждения, переходят от Застройщика к Участнику долевого строительства.</w:t>
      </w:r>
    </w:p>
    <w:p w14:paraId="14FC0D4E">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Передача Объекта долевого строительства осуществляется Застройщиком в любой момент после получения в установленном порядке Разрешения на ввод Объекта капитального строительства в эксплуатацию.</w:t>
      </w:r>
    </w:p>
    <w:p w14:paraId="249727AE">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6.5.1. Сторонами согласовано, что Участник долевого строительства обязуется, в течение 7 (семи) календарных дней со дня получения сообщения Застройщика о завершении строительства (создания) Объекта капитального строительства (п. 6.3. настоящего договора), совершить действия для принятия Объекта долевого строительства и подписания Акта приема-передачи. Если у Участника долевого строительства имеются обоснованные претензии к передаваемому Объекту</w:t>
      </w:r>
      <w:r>
        <w:t xml:space="preserve"> </w:t>
      </w:r>
      <w:r>
        <w:rPr>
          <w:rFonts w:ascii="Times New Roman" w:hAnsi="Times New Roman" w:eastAsia="Arial CYR" w:cs="Times New Roman"/>
          <w:sz w:val="24"/>
          <w:szCs w:val="24"/>
          <w:lang w:eastAsia="ar-SA"/>
        </w:rPr>
        <w:t>долевого строительства либо он построен с недостатками, которые делают его непригодным для использования по назначению, Участник</w:t>
      </w:r>
      <w:r>
        <w:t xml:space="preserve"> </w:t>
      </w:r>
      <w:r>
        <w:rPr>
          <w:rFonts w:ascii="Times New Roman" w:hAnsi="Times New Roman" w:eastAsia="Arial CYR" w:cs="Times New Roman"/>
          <w:sz w:val="24"/>
          <w:szCs w:val="24"/>
          <w:lang w:eastAsia="ar-SA"/>
        </w:rPr>
        <w:t>долевого строительства в течение 7 (семи) календарных дней обязуется представить Застройщику письменный мотивированный отказ от подписания Акта приема-передачи, в случае не предоставления указанного отказа наступают последствия, предусмотренные п.</w:t>
      </w:r>
      <w:r>
        <w:t xml:space="preserve"> </w:t>
      </w:r>
      <w:r>
        <w:rPr>
          <w:rFonts w:ascii="Times New Roman" w:hAnsi="Times New Roman" w:eastAsia="Arial CYR" w:cs="Times New Roman"/>
          <w:sz w:val="24"/>
          <w:szCs w:val="24"/>
          <w:lang w:eastAsia="ar-SA"/>
        </w:rPr>
        <w:t>6.3 настоящего договора (составление одностороннего Акта о передаче Объекта долевого строительства в одностороннем порядке).</w:t>
      </w:r>
    </w:p>
    <w:p w14:paraId="55D9F67B">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Выявление недостатков Объекта долевого строительства, не связанных с несоответствием Объекта долевого строительства условиям Договора, требованиям технических регламентов, проектной документации и иным обязательным требованиям, которые не приводят к ухудшению качества Объекта долевого строительства и не делают Объект долевого строительства не пригодным для проживания, не являются основанием для отказа от принятия Объекта долевого строительства.</w:t>
      </w:r>
    </w:p>
    <w:p w14:paraId="25D1B656">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6.6.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Объекте капитального строительства. Передача доли в праве собственности на общее имущество отдельным документом не оформляется.</w:t>
      </w:r>
    </w:p>
    <w:p w14:paraId="794CB910">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6.7. В случае, если строительство (создание) Объекта капитального строительства не может быть завершено в предусмотренный договором срок, Застройщик не позднее чем за 2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10 (десяти) дней с момента его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дополнительным соглашением. В случае неполучения Застройщиком в указанные сроки ответа или получения уведомления об отсутствии адресата по адресу, указанному в договоре, предложение считается согласованным со стороны Участника долевого строительства. Изменение предусмотренного договором срока передачи Объекта долевого строительства осуществляется в порядке, установленном Гражданским Кодексом Российской Федерации.</w:t>
      </w:r>
    </w:p>
    <w:p w14:paraId="1DB64701">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6.8. Нежилые помещения (за исключением</w:t>
      </w:r>
      <w:r>
        <w:t xml:space="preserve"> о</w:t>
      </w:r>
      <w:r>
        <w:rPr>
          <w:rFonts w:ascii="Times New Roman" w:hAnsi="Times New Roman" w:eastAsia="Arial CYR" w:cs="Times New Roman"/>
          <w:sz w:val="24"/>
          <w:szCs w:val="24"/>
          <w:lang w:eastAsia="ar-SA"/>
        </w:rPr>
        <w:t>бщего имущества</w:t>
      </w:r>
      <w:r>
        <w:t xml:space="preserve"> </w:t>
      </w:r>
      <w:r>
        <w:rPr>
          <w:rFonts w:ascii="Times New Roman" w:hAnsi="Times New Roman" w:eastAsia="Arial CYR" w:cs="Times New Roman"/>
          <w:sz w:val="24"/>
          <w:szCs w:val="24"/>
          <w:lang w:eastAsia="ar-SA"/>
        </w:rPr>
        <w:t>в многоквартирном доме -помещений в данном доме, не являющихся частями жилых и нежилых помещений и предназначенные для обслуживания более одного помещения в данном доме, в том числе машинных отделений лифтов, лифтовых шахт, венткамер, электрощитовых, водонасосных, лестничных клеток, общих коридоров, лифтовых холлов и т.д., в соответствии с законодательством Российской Федерации) не входят в состав общего имущества Объекта капитального строительства, в связи с чем право долевой собственности на данное имущество у Участника долевого строительства на основании настоящего договора не возникает.</w:t>
      </w:r>
      <w:bookmarkEnd w:id="28"/>
    </w:p>
    <w:p w14:paraId="74CEAEF4">
      <w:pPr>
        <w:spacing w:after="0" w:line="240" w:lineRule="auto"/>
        <w:ind w:firstLine="426"/>
        <w:jc w:val="center"/>
        <w:rPr>
          <w:rFonts w:ascii="Times New Roman" w:hAnsi="Times New Roman" w:eastAsia="Calibri" w:cs="Times New Roman"/>
          <w:b/>
          <w:sz w:val="24"/>
          <w:szCs w:val="24"/>
          <w:lang w:eastAsia="ar-SA"/>
        </w:rPr>
      </w:pPr>
      <w:r>
        <w:rPr>
          <w:rFonts w:ascii="Times New Roman" w:hAnsi="Times New Roman" w:eastAsia="Calibri" w:cs="Times New Roman"/>
          <w:b/>
          <w:sz w:val="24"/>
          <w:szCs w:val="24"/>
          <w:lang w:eastAsia="ar-SA"/>
        </w:rPr>
        <w:t>7. ОТВЕТСТВЕННОСТЬ СТОРОН</w:t>
      </w:r>
    </w:p>
    <w:p w14:paraId="381AAC52">
      <w:pPr>
        <w:spacing w:after="0" w:line="240" w:lineRule="auto"/>
        <w:ind w:firstLine="709"/>
        <w:jc w:val="both"/>
        <w:rPr>
          <w:rFonts w:ascii="Times New Roman" w:hAnsi="Times New Roman" w:eastAsia="Arial CYR" w:cs="Times New Roman"/>
          <w:sz w:val="24"/>
          <w:szCs w:val="24"/>
          <w:lang w:eastAsia="ar-SA"/>
        </w:rPr>
      </w:pPr>
      <w:bookmarkStart w:id="29" w:name="_Hlk14197325"/>
      <w:r>
        <w:rPr>
          <w:rFonts w:ascii="Times New Roman" w:hAnsi="Times New Roman" w:eastAsia="Arial CYR" w:cs="Times New Roman"/>
          <w:sz w:val="24"/>
          <w:szCs w:val="24"/>
          <w:lang w:eastAsia="ar-SA"/>
        </w:rPr>
        <w:t>7.1. В случае неисполнения или ненадлежащего исполнения обязательств по договору Стороны несут ответственность, предусмотренную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14:paraId="72518BFE">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7.2. Участник долевого строительства в одностороннем порядке вправе отказаться от исполнения договора в случаях, предусмотренных ч. 1 ст. 9 Федерального Закона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3D74970B">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7.3. По требованию Участника долевого строительства договор может быть расторгнут в судебном порядке только в случаях, предусмотренных ч. 1.1. ст. 9 Федерального Закона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CD35FEE">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7.4. В случае одностороннего отказа Участника долевого строительства от исполнения договора по вышеуказанным основаниям, Застройщик обязан возвратить денежные средства, уплаченные Участником долевого строительства в счет Цены договора, а также уплатить проценты на эту сумму за пользование указанными денежными средствами в размере, предусмотренном Федеральным Законом Российской Федерации от 30 декабря 2004 года №</w:t>
      </w:r>
      <w:r>
        <w:t> </w:t>
      </w:r>
      <w:r>
        <w:rPr>
          <w:rFonts w:ascii="Times New Roman" w:hAnsi="Times New Roman" w:eastAsia="Arial CYR" w:cs="Times New Roman"/>
          <w:sz w:val="24"/>
          <w:szCs w:val="24"/>
          <w:lang w:eastAsia="ar-SA"/>
        </w:rPr>
        <w:t>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Указанные проценты начисляются со дня внесения Участником долевого строительства денежных средств и/или части на расчетный счет Застройщика до дня их возврата Участнику долевого строительства.</w:t>
      </w:r>
    </w:p>
    <w:p w14:paraId="14140C9F">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Если в течение установленного Законом срока Участник долевого строительства не обратился к Застройщику за получением денежных средств, уплаченных им в счет Цены договора, и процентов на эту сумму за пользование указанными денежными средствами, Застройщик не позднее дня, следующего за рабочим днем после истечения указанного срока, зачисляет денежные средства и проценты за пользование чужими денежными средствами в депозит нотариуса по месту нахождения Застройщика, о чем сообщает Участнику долевого строительства. </w:t>
      </w:r>
    </w:p>
    <w:p w14:paraId="6034FD76">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В этом случае Участник долевого строительства в течении 5 (пяти) рабочих дней с даты сообщения Застройщика о перечислении денежных средств в депозит нотариуса возмещает Застройщику все документально подтвержденные расходы Застройщика в связи с перечислением денег в депозит нотариуса. В случае просрочки Участником долевого строительства возмещения указанных расходов Застройщика, Участник долевого строительства уплачивает Застройщику неустойку в размере 0,1% от суммы понесенных Застройщиком расходов за каждый день просрочки.</w:t>
      </w:r>
    </w:p>
    <w:p w14:paraId="6BEC7F91">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Стороны договорились, что вышеуказанный порядок возврата денежных средств в депозит нотариуса и применение к Участнику долевого строительства неустойки за просрочку возмещения расходов Застройщика применяется также при расторжении договора по инициативе Застройщика и возврате в этом случае Застройщиком денежных средств Участнику долевого строительства.</w:t>
      </w:r>
    </w:p>
    <w:p w14:paraId="6AE6C680">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7.5. Застройщик в одностороннем порядке вправе отказаться от исполнения договора в случае просрочки внесения платежа Участником долевого строительства более чем на 2 </w:t>
      </w:r>
      <w:r>
        <w:rPr>
          <w:rFonts w:ascii="Times New Roman" w:hAnsi="Times New Roman" w:eastAsia="Arial CYR" w:cs="Times New Roman"/>
          <w:sz w:val="24"/>
          <w:szCs w:val="24"/>
          <w:lang w:eastAsia="ar-SA"/>
        </w:rPr>
        <w:br w:type="textWrapping"/>
      </w:r>
      <w:r>
        <w:rPr>
          <w:rFonts w:ascii="Times New Roman" w:hAnsi="Times New Roman" w:eastAsia="Arial CYR" w:cs="Times New Roman"/>
          <w:sz w:val="24"/>
          <w:szCs w:val="24"/>
          <w:lang w:eastAsia="ar-SA"/>
        </w:rPr>
        <w:t>(два) месяца. При отказе от исполнения договора Застройщик не вправе требовать возмещения своих затрат, произведенных в процессе выполнения работы, а также платы за выполненную работу (оказанную услугу), за исключением случая, если Участник долевого строительства принял выполненную работу (оказанную услугу).</w:t>
      </w:r>
    </w:p>
    <w:p w14:paraId="3259FAD6">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7.6. В случае неисполнения (ненадлежащего исполнения) Участником</w:t>
      </w:r>
      <w:r>
        <w:t xml:space="preserve"> </w:t>
      </w:r>
      <w:r>
        <w:rPr>
          <w:rFonts w:ascii="Times New Roman" w:hAnsi="Times New Roman" w:eastAsia="Arial CYR" w:cs="Times New Roman"/>
          <w:sz w:val="24"/>
          <w:szCs w:val="24"/>
          <w:lang w:eastAsia="ar-SA"/>
        </w:rPr>
        <w:t>долевого строительства обязанности, установленной в п. 4.3.4. настоящего Договора, Участник долевого строительства возмещает Застройщику все убытки, понесенные Застройщиком, в том числе расходы в соответствующей части по оплате земельного налога за земельный участок, на котором расположен Объект капитального строительства.</w:t>
      </w:r>
    </w:p>
    <w:p w14:paraId="40F8B198">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7.7. В соответствии со статьей 10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Федеральным законом от 30.12.2004 N 214-ФЗ и указанным договором неустойки (штрафы, пени) и возместить в полном объеме причиненные убытки сверх неустойки.</w:t>
      </w:r>
    </w:p>
    <w:p w14:paraId="1FC1E37F">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Сторонами в соответствии со статьей 10 Федерального закона от 30.12.2004 N 214-ФЗ согласовано условие Договора, о том, что за просрочку, необоснованный отказ/уклонение от подписания Акта приема-передачи Участник долевого строительства уплачивает Застройщику неустойку в размере 0,1% от Окончательной цены договора за каждый день просрочки.</w:t>
      </w:r>
    </w:p>
    <w:p w14:paraId="6C41395B">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7.8. За просрочку необоснованный отказ/уклонение Участника долевого строительства от оплаты Цены договора Участник долевого строительства уплачивает Застройщику неустойку в размере, предусмотренном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D423712">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7.9. В части, неоговорённой в настоящей статье, Стороны несут ответственность по настоящему договору в соответствии с действующим законодательством РФ и настоящим Договором.</w:t>
      </w:r>
    </w:p>
    <w:p w14:paraId="10476D4E">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7.10.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Госпожнадзора будет возложена на Участника долевого строительства. </w:t>
      </w:r>
    </w:p>
    <w:p w14:paraId="1F3912EB">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7.11. За нарушение срока, указанного в п. 8.1. настоящего договора, Участник долевого строительства уплачивает Застройщику штраф в размере 10 000,00 (десять тысяч) рублей.  </w:t>
      </w:r>
    </w:p>
    <w:p w14:paraId="6B978315">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7.12.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2E8CA1EF">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7.13. Участник долевого строительства ознакомлен с тем, что Объект капитального строительства строится по индивидуальному проекту и является уникальным архитектурным решением. Нарушение условий эксплуатации Объект капитального строительства (включая, но не ограничиваясь размещением на фасаде Объекта капитального строительства внешних блоков кондиционеров и иного инженерного оборудования вне отведенных мест) является нарушением архитектурного облика Объекта капитального строительства, а также прав автора, что может повлечь за собой ответственность, предусмотренную законодательством РФ.</w:t>
      </w:r>
    </w:p>
    <w:p w14:paraId="642D177A">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За изменение фасада Объекта капитального строительства, в том числе путем устройства кондиционеров, спутниковых антенн в неустановленных для этого местах, изменение остекления оконных проемов/лоджий с отступлениями от проектных решений и т.п., Участник долевого строительства уплачивает Застройщику штраф в размере 150 000,00 (сто пятьдесят тысяч) рублей за каждый случай нарушения. </w:t>
      </w:r>
    </w:p>
    <w:p w14:paraId="30EA925E">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Оплата штрафа не освобождает Участника долевого строительства от обязанности привести фасад Объекта капитального строительства в первоначальное состояние.</w:t>
      </w:r>
    </w:p>
    <w:p w14:paraId="31FDDAF8">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В случае невыполнения Участником долевого строительства обязанности по приведению фасада в первоначальное состояние, Застройщик вправе самостоятельно произвести демонтаж любых наружных устройств, установленных Участником долевого строительства, с последующим возложением затрат на Участника долевого строительства.</w:t>
      </w:r>
    </w:p>
    <w:p w14:paraId="72C6261F">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Условия настоящего пункта договора действуют в течение 5 (пяти) лет с момента получения разрешения на ввод в эксплуатацию Объекта капитального строительства.</w:t>
      </w:r>
    </w:p>
    <w:p w14:paraId="36B15EC9">
      <w:pPr>
        <w:spacing w:after="0" w:line="240" w:lineRule="auto"/>
        <w:ind w:firstLine="709"/>
        <w:jc w:val="both"/>
        <w:rPr>
          <w:rFonts w:ascii="Times New Roman" w:hAnsi="Times New Roman" w:eastAsia="Arial CYR" w:cs="Times New Roman"/>
          <w:sz w:val="24"/>
          <w:szCs w:val="24"/>
          <w:lang w:eastAsia="ar-SA"/>
        </w:rPr>
      </w:pPr>
      <w:bookmarkStart w:id="30" w:name="_Hlk14191965"/>
      <w:r>
        <w:rPr>
          <w:rFonts w:ascii="Times New Roman" w:hAnsi="Times New Roman" w:eastAsia="Arial CYR" w:cs="Times New Roman"/>
          <w:sz w:val="24"/>
          <w:szCs w:val="24"/>
          <w:lang w:eastAsia="ar-SA"/>
        </w:rPr>
        <w:t xml:space="preserve">7.14. Участник долевого строительства не вправе до подписания Акта приема-передачи Объекта долевого строительства и государственной регистрации права собственности на него производить в нем ремонт, перепланировку и/или переустройство Объекта долевого строительства. В случае нарушения вышеуказанного положения Участник долевого строительства самостоятельно несет полную ответственность за причинение вреда третьим лицам и их имуществу, Объекту долевого строительства и общему имуществу Объекта капитального строительства, а также ответственность, предусмотренную действующим законодательством Российской Федерации, в том числе полностью принимает на себя риск отказа в государственной регистрации права собственности Участника долевого строительства на Объект долевого строительства. </w:t>
      </w:r>
    </w:p>
    <w:p w14:paraId="4D8E11AC">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7.15. В случае нарушения Участником</w:t>
      </w:r>
      <w:r>
        <w:t xml:space="preserve"> </w:t>
      </w:r>
      <w:r>
        <w:rPr>
          <w:rFonts w:ascii="Times New Roman" w:hAnsi="Times New Roman" w:eastAsia="Arial CYR" w:cs="Times New Roman"/>
          <w:sz w:val="24"/>
          <w:szCs w:val="24"/>
          <w:lang w:eastAsia="ar-SA"/>
        </w:rPr>
        <w:t>долевого строительства условия о согласовании уступки права требования Участника</w:t>
      </w:r>
      <w:r>
        <w:t xml:space="preserve"> </w:t>
      </w:r>
      <w:r>
        <w:rPr>
          <w:rFonts w:ascii="Times New Roman" w:hAnsi="Times New Roman" w:eastAsia="Arial CYR" w:cs="Times New Roman"/>
          <w:sz w:val="24"/>
          <w:szCs w:val="24"/>
          <w:lang w:eastAsia="ar-SA"/>
        </w:rPr>
        <w:t>долевого строительства к Застройщику другому лицу, согласно разделу 8 настоящего Договора, Участник долевого строительства выплачивает Застройщику согласно п. 3 статьи 388 ГК РФ штраф в размере 20% от Цены договора.</w:t>
      </w:r>
    </w:p>
    <w:p w14:paraId="5E48C65B">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7.16. В случае расторжения Договора по инициативе Участника</w:t>
      </w:r>
      <w:r>
        <w:t xml:space="preserve"> </w:t>
      </w:r>
      <w:r>
        <w:rPr>
          <w:rFonts w:ascii="Times New Roman" w:hAnsi="Times New Roman" w:eastAsia="Arial CYR" w:cs="Times New Roman"/>
          <w:sz w:val="24"/>
          <w:szCs w:val="24"/>
          <w:lang w:eastAsia="ar-SA"/>
        </w:rPr>
        <w:t>долевого строительства, за исключением оснований, указанных в ч. 3 ст.7, ч. 1 (подп. 1-3) и ч. 1.1. (подп. 1,2 ) ст. 9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Участник</w:t>
      </w:r>
      <w:r>
        <w:t xml:space="preserve"> </w:t>
      </w:r>
      <w:r>
        <w:rPr>
          <w:rFonts w:ascii="Times New Roman" w:hAnsi="Times New Roman" w:eastAsia="Arial CYR" w:cs="Times New Roman"/>
          <w:sz w:val="24"/>
          <w:szCs w:val="24"/>
          <w:lang w:eastAsia="ar-SA"/>
        </w:rPr>
        <w:t>долевого строительства обязан уплатить Застройщику неустойку в размере 10% (Десять процентов) от Цены Договора. Право на получение указанной неустойки может быть реализовано Застройщиком путем удержания соответствующей суммы при возврате денежных средств Участнику</w:t>
      </w:r>
      <w:r>
        <w:t xml:space="preserve"> </w:t>
      </w:r>
      <w:r>
        <w:rPr>
          <w:rFonts w:ascii="Times New Roman" w:hAnsi="Times New Roman" w:eastAsia="Arial CYR" w:cs="Times New Roman"/>
          <w:sz w:val="24"/>
          <w:szCs w:val="24"/>
          <w:lang w:eastAsia="ar-SA"/>
        </w:rPr>
        <w:t>долевого строительства. Возврат Участнику долевого строительства уплаченных им денежных средств производится Застройщиком в срок, установленный соглашением Сторон.</w:t>
      </w:r>
    </w:p>
    <w:p w14:paraId="5CEC9235">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7.17. В случае расторжения Договора по инициативе Участника долевого строительства, если такая инициатива не обусловлена основаниями, предусмотренными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отказа Участника долевого строительства от исполнения Договора или для его расторжения, а также в случае расторжения Договора по инициативе Застройщика в связи с ненадлежащим исполнением Участником долевого строительства обязательств, предусмотренных Договором и/или Федеральным Законом Российской Федерации от 30 декабря 2004 года № 214-ФЗ, Участник долевого строительства обязуется сверх начисленных неустоек (штрафов, пени) возместить Застройщику в полном объеме убытки, в том числе: возместить Застройщику фактически понесенные Застройщиком расходы, связанные с заключением, изменением, исполнением и расторжением Договора, включая расходы на оплату государственной пошлины и услуг в связи с государственной регистрацией Договора, соглашения (-й) об изменении и о расторжении Договора, расходы, связанные с осуществлением такой оплаты, расходы, понесенные Застройщиком в связи с ведением переговоров, подготовкой и подписанием документов, формированием пакета документов для государственной регистрации Договора, подачей документов на государственную регистрацию, получением после государственной регистрации, выдачей экземпляров документов Участнику долевого строительства, и прочие расходы; расходы, связанные с возвратом Участнику долевого строительства денежных средств, в том числе, но не ограничиваясь, комиссии банка, расходы на оплату государственной пошлины за принятие на депозит нотариуса денежных сумм, плату за услуги технического и правового характера, оказываемые нотариусом в связи с внесением денежных средств в депозит нотариуса, и прочее; расходы на оплату услуг третьих лиц, связанных с реализацией Участнику долевого строительства Объекта долевого строительства и заключением Договора.</w:t>
      </w:r>
      <w:bookmarkEnd w:id="29"/>
      <w:bookmarkEnd w:id="30"/>
    </w:p>
    <w:p w14:paraId="7AB1F35C">
      <w:pPr>
        <w:spacing w:after="0" w:line="240" w:lineRule="auto"/>
        <w:ind w:firstLine="426"/>
        <w:jc w:val="center"/>
        <w:rPr>
          <w:rFonts w:ascii="Times New Roman" w:hAnsi="Times New Roman" w:eastAsia="Calibri" w:cs="Times New Roman"/>
          <w:b/>
          <w:sz w:val="24"/>
          <w:szCs w:val="24"/>
          <w:lang w:eastAsia="ar-SA"/>
        </w:rPr>
      </w:pPr>
      <w:r>
        <w:rPr>
          <w:rFonts w:ascii="Times New Roman" w:hAnsi="Times New Roman" w:eastAsia="Calibri" w:cs="Times New Roman"/>
          <w:b/>
          <w:sz w:val="24"/>
          <w:szCs w:val="24"/>
          <w:lang w:eastAsia="ar-SA"/>
        </w:rPr>
        <w:t>8. УСТУПКА ПРАВ ТРЕБОВАНИЙ ПО ДОГОВОРУ</w:t>
      </w:r>
    </w:p>
    <w:p w14:paraId="17D21725">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8.1. Уступка Участником долевого строительства прав требований по договору иному лицу допускается с момента государственной регистрации настоящего договора, оплаты им Цены договора и получения письменного согласия Застройщика на уступку, до момента подписания Сторонами Акта приема-передачи с обязательным предоставлением Застройщику подлинного экземпляра договора уступки прав требований в течение 5 (пяти) дней после его государственной регистрации,</w:t>
      </w:r>
      <w:r>
        <w:rPr>
          <w:rFonts w:ascii="Times New Roman" w:hAnsi="Times New Roman" w:cs="Times New Roman"/>
          <w:sz w:val="24"/>
          <w:szCs w:val="24"/>
        </w:rPr>
        <w:t xml:space="preserve"> </w:t>
      </w:r>
      <w:r>
        <w:rPr>
          <w:rFonts w:ascii="Times New Roman" w:hAnsi="Times New Roman" w:eastAsia="Arial CYR" w:cs="Times New Roman"/>
          <w:sz w:val="24"/>
          <w:szCs w:val="24"/>
          <w:lang w:eastAsia="ar-SA"/>
        </w:rPr>
        <w:t>копии паспорта нового Участника долевого строительства и номера телефона.</w:t>
      </w:r>
    </w:p>
    <w:p w14:paraId="71CEB0B1">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8.2. В случае неуплаты Участником долевого строительства Цены договора Застройщику, уступка Участником долевого строительства прав требований по договору иному лицу допускается только после получения письменного согласия Застройщика одновременно с переводом долга на нового Участника долевого строительства и вступает в силу после государственной регистрации договора уступки прав. Расходы по государственной регистрации такого договора несет Участник долевого строительства и новый Участник долевого строительства (Правопреемник).</w:t>
      </w:r>
    </w:p>
    <w:p w14:paraId="215D76BB">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8.3. Сторонами согласовано, что все последующие уступки прав требований, совершаемые новым Участником долевого строительства, осуществляются при условии письменного согласия Застройщика. </w:t>
      </w:r>
    </w:p>
    <w:p w14:paraId="19A0A44D">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Стороны договорились, что уступка Участником</w:t>
      </w:r>
      <w:r>
        <w:t xml:space="preserve"> </w:t>
      </w:r>
      <w:r>
        <w:rPr>
          <w:rFonts w:ascii="Times New Roman" w:hAnsi="Times New Roman" w:eastAsia="Arial CYR" w:cs="Times New Roman"/>
          <w:sz w:val="24"/>
          <w:szCs w:val="24"/>
          <w:lang w:eastAsia="ar-SA"/>
        </w:rPr>
        <w:t>долевого строительства прав требования к Застройщику по неустойке и иным штрафным санкциям допускается только с письменного согласия Застройщика. Стороны соглашаются, что личность Участника долевого строительства имеет существенное значение для Застройщика и с иным лицом, не отвечающим требованиям Застройщика в части платежеспособности и добросовестности, настоящий Договор не был бы заключен Застройщиком. Учитывая вышеизложенное, руководствуясь пунктом 1 статьи 11 Закон № 214-ФЗ, пунктом 2 статьи 382 Гражданского кодекса РФ, стороны пришли к соглашению о том, что уступка Участником долевого строительства права требования по неустойке и иным штрафным санкциям к Застройщику по настоящему договору не допускается без письменного согласия Застройщика, в выдаче которого Застройщик вправе отказать. В случае совершения Участником долевого строительства уступки права требования по неустойке и иным штрафным санкциям по настоящему Договору без согласия Застройщика, Участник долевого строительства уплачивает Застройщику штраф в размере 20% от Окончательной цены договора.</w:t>
      </w:r>
    </w:p>
    <w:p w14:paraId="42CBD293">
      <w:pPr>
        <w:spacing w:after="0" w:line="240" w:lineRule="auto"/>
        <w:ind w:firstLine="709"/>
        <w:jc w:val="both"/>
        <w:rPr>
          <w:rFonts w:ascii="Times New Roman" w:hAnsi="Times New Roman" w:eastAsia="Arial CYR" w:cs="Times New Roman"/>
          <w:sz w:val="24"/>
          <w:szCs w:val="24"/>
          <w:lang w:eastAsia="ar-SA"/>
        </w:rPr>
      </w:pPr>
      <w:bookmarkStart w:id="31" w:name="_Hlk14197427"/>
      <w:r>
        <w:rPr>
          <w:rFonts w:ascii="Times New Roman" w:hAnsi="Times New Roman" w:eastAsia="Arial CYR" w:cs="Times New Roman"/>
          <w:sz w:val="24"/>
          <w:szCs w:val="24"/>
          <w:lang w:eastAsia="ar-SA"/>
        </w:rPr>
        <w:t>8.4. В случае уступки Участником долевого строительства, являющимся владельцем счета эскроу, прав требований по настоящему Договору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14:paraId="3B6B1B87">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8.5. Стороны отдельно подтверждают, что в любом случае и при любых обстоятельствах уступка Участником долевого строительства прав по настоящему Договору или прав, вытекающих из взаимоотношений сторон по настоящему Договору, в результате которой изменяется подсудность рассмотрения споров между Сторонами и/или компетенция (подведомственность) суда не допускается без письменного согласия Застройщика.</w:t>
      </w:r>
      <w:bookmarkEnd w:id="31"/>
    </w:p>
    <w:p w14:paraId="170BDDE4">
      <w:pPr>
        <w:spacing w:after="0" w:line="240" w:lineRule="auto"/>
        <w:ind w:firstLine="426"/>
        <w:jc w:val="center"/>
        <w:rPr>
          <w:rFonts w:ascii="Times New Roman" w:hAnsi="Times New Roman" w:eastAsia="Calibri" w:cs="Times New Roman"/>
          <w:b/>
          <w:sz w:val="24"/>
          <w:szCs w:val="24"/>
          <w:lang w:eastAsia="ar-SA"/>
        </w:rPr>
      </w:pPr>
      <w:r>
        <w:rPr>
          <w:rFonts w:ascii="Times New Roman" w:hAnsi="Times New Roman" w:eastAsia="Calibri" w:cs="Times New Roman"/>
          <w:b/>
          <w:sz w:val="24"/>
          <w:szCs w:val="24"/>
          <w:lang w:eastAsia="ar-SA"/>
        </w:rPr>
        <w:t xml:space="preserve">9. ОГРАНИЧЕНИЕ ЗАЛОГА ПРАВ ТРЕБОВАНИЙ ПО ДОГОВОРУ </w:t>
      </w:r>
    </w:p>
    <w:p w14:paraId="3D4C311F">
      <w:pPr>
        <w:spacing w:after="0" w:line="240" w:lineRule="auto"/>
        <w:ind w:firstLine="709"/>
        <w:jc w:val="both"/>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ar-SA"/>
        </w:rPr>
        <w:t>9.1. Стороны Настоящего договора достигли соглашения, по которому залог прав требований, принадлежащих Участнику долевого строительства, по настоящему договору возможен только с предварительного письменного согласия Застройщика.</w:t>
      </w:r>
    </w:p>
    <w:p w14:paraId="2F053C11">
      <w:pPr>
        <w:spacing w:after="0" w:line="240" w:lineRule="auto"/>
        <w:ind w:firstLine="709"/>
        <w:jc w:val="both"/>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ar-SA"/>
        </w:rPr>
        <w:t>9.2. В случае если расчет по настоящему договору производиться между сторонами за счет кредитных средств Банка, условия п. 9.1. настоящего Договора, не применяются.</w:t>
      </w:r>
    </w:p>
    <w:p w14:paraId="44B5FAB0">
      <w:pPr>
        <w:spacing w:after="0" w:line="240" w:lineRule="auto"/>
        <w:ind w:firstLine="709"/>
        <w:jc w:val="both"/>
        <w:rPr>
          <w:rFonts w:ascii="Times New Roman" w:hAnsi="Times New Roman" w:eastAsia="Calibri" w:cs="Times New Roman"/>
          <w:sz w:val="24"/>
          <w:szCs w:val="24"/>
          <w:lang w:eastAsia="ar-SA"/>
        </w:rPr>
      </w:pPr>
      <w:bookmarkStart w:id="32" w:name="_Hlk14192059"/>
      <w:r>
        <w:rPr>
          <w:rFonts w:ascii="Times New Roman" w:hAnsi="Times New Roman" w:eastAsia="Calibri" w:cs="Times New Roman"/>
          <w:sz w:val="24"/>
          <w:szCs w:val="24"/>
          <w:lang w:eastAsia="ar-SA"/>
        </w:rPr>
        <w:t>9.3. В случае нарушения Участником долевого строительства требования, установленного п. 9.1. настоящего Договора, Участник долевого строительства выплачивает Застройщику штраф в размере 20% от Цены договора.</w:t>
      </w:r>
      <w:bookmarkEnd w:id="32"/>
    </w:p>
    <w:p w14:paraId="145EFCCB">
      <w:pPr>
        <w:spacing w:after="0" w:line="240" w:lineRule="auto"/>
        <w:ind w:firstLine="426"/>
        <w:jc w:val="center"/>
        <w:rPr>
          <w:rFonts w:ascii="Times New Roman" w:hAnsi="Times New Roman" w:eastAsia="Calibri" w:cs="Times New Roman"/>
          <w:b/>
          <w:sz w:val="24"/>
          <w:szCs w:val="24"/>
          <w:lang w:eastAsia="ar-SA"/>
        </w:rPr>
      </w:pPr>
      <w:r>
        <w:rPr>
          <w:rFonts w:ascii="Times New Roman" w:hAnsi="Times New Roman" w:eastAsia="Calibri" w:cs="Times New Roman"/>
          <w:b/>
          <w:sz w:val="24"/>
          <w:szCs w:val="24"/>
          <w:lang w:eastAsia="ar-SA"/>
        </w:rPr>
        <w:t>10. ОБСТОЯТЕЛЬСТВА НЕПРЕОДОЛИМОЙ СИЛЫ</w:t>
      </w:r>
    </w:p>
    <w:p w14:paraId="1B14BCD5">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10.1.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и другие стихийные бедствия, военные действия, террористические акты, блокада, эмбарго, действия государственных органов</w:t>
      </w:r>
      <w:r>
        <w:rPr>
          <w:rFonts w:ascii="Times New Roman" w:hAnsi="Times New Roman" w:cs="Times New Roman"/>
          <w:sz w:val="24"/>
          <w:szCs w:val="24"/>
        </w:rPr>
        <w:t>,</w:t>
      </w:r>
      <w:r>
        <w:t xml:space="preserve"> </w:t>
      </w:r>
      <w:r>
        <w:rPr>
          <w:rFonts w:ascii="Times New Roman" w:hAnsi="Times New Roman" w:eastAsia="Arial CYR" w:cs="Times New Roman"/>
          <w:sz w:val="24"/>
          <w:szCs w:val="24"/>
          <w:lang w:eastAsia="ar-SA"/>
        </w:rPr>
        <w:t>а также иные, впоследствии признанные таковыми).</w:t>
      </w:r>
    </w:p>
    <w:p w14:paraId="059CFCFE">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10.2.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14:paraId="72A245EE">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10.3. 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в срок не позднее 5 (пяти) календарных дней с момента их наступления или прекращения.</w:t>
      </w:r>
    </w:p>
    <w:p w14:paraId="7E5DBB05">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10.4. 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форс-мажор.</w:t>
      </w:r>
    </w:p>
    <w:p w14:paraId="6CDC9FA8">
      <w:pPr>
        <w:spacing w:after="0" w:line="240" w:lineRule="auto"/>
        <w:ind w:firstLine="426"/>
        <w:jc w:val="center"/>
        <w:rPr>
          <w:rFonts w:ascii="Times New Roman" w:hAnsi="Times New Roman" w:eastAsia="Calibri" w:cs="Times New Roman"/>
          <w:b/>
          <w:sz w:val="24"/>
          <w:szCs w:val="24"/>
          <w:lang w:eastAsia="ar-SA"/>
        </w:rPr>
      </w:pPr>
      <w:r>
        <w:rPr>
          <w:rFonts w:ascii="Times New Roman" w:hAnsi="Times New Roman" w:eastAsia="Calibri" w:cs="Times New Roman"/>
          <w:b/>
          <w:sz w:val="24"/>
          <w:szCs w:val="24"/>
          <w:lang w:eastAsia="ar-SA"/>
        </w:rPr>
        <w:t>11. ОСОБЫЕ УСЛОВИЯ</w:t>
      </w:r>
    </w:p>
    <w:p w14:paraId="66E5DF26">
      <w:pPr>
        <w:spacing w:after="0" w:line="240" w:lineRule="auto"/>
        <w:ind w:firstLine="709"/>
        <w:jc w:val="both"/>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ar-SA"/>
        </w:rPr>
        <w:t xml:space="preserve">11.1. Участник долевого строительства осведомлен и согласен с тем, что Объект долевого строительства, права на который он приобретает по настоящему договору, включен в </w:t>
      </w:r>
      <w:r>
        <w:rPr>
          <w:rFonts w:ascii="Times New Roman" w:hAnsi="Times New Roman" w:eastAsia="Arial CYR" w:cs="Times New Roman"/>
          <w:sz w:val="24"/>
          <w:szCs w:val="24"/>
          <w:lang w:eastAsia="ar-SA"/>
        </w:rPr>
        <w:t>жилую комплексную застройку</w:t>
      </w:r>
      <w:r>
        <w:rPr>
          <w:rFonts w:ascii="Times New Roman" w:hAnsi="Times New Roman" w:eastAsia="Calibri" w:cs="Times New Roman"/>
          <w:sz w:val="24"/>
          <w:szCs w:val="24"/>
          <w:lang w:eastAsia="ar-SA"/>
        </w:rPr>
        <w:t xml:space="preserve"> с коммерческим обозначением – Жилой комплекс ДЗЕНПАРК (ЖК ДЗЕНПАРК), и обязуется не препятствовать строительству (внесению изменений в объекты капитального строительства, входящее в комплексную жилую застройку), эксплуатации по завершению строительства всех объектов этого комплекса, в том числе установки конструкции с логотипом-символом Застройщика.</w:t>
      </w:r>
    </w:p>
    <w:p w14:paraId="1BAE9D08">
      <w:pPr>
        <w:spacing w:after="0" w:line="240" w:lineRule="auto"/>
        <w:ind w:firstLine="709"/>
        <w:jc w:val="both"/>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ar-SA"/>
        </w:rPr>
        <w:t>11.2.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14CB08C9">
      <w:pPr>
        <w:spacing w:after="0" w:line="240" w:lineRule="auto"/>
        <w:ind w:firstLine="709"/>
        <w:jc w:val="both"/>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ar-SA"/>
        </w:rPr>
        <w:t>11.3.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14:paraId="4C1CC86E">
      <w:pPr>
        <w:spacing w:after="0" w:line="240" w:lineRule="auto"/>
        <w:ind w:firstLine="709"/>
        <w:jc w:val="both"/>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ar-SA"/>
        </w:rPr>
        <w:t>11.4.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 выполнять уборку общего имущества от мусора и пыли в течение одного рабочего дня с момента использования / загрязнения общего имущества.</w:t>
      </w:r>
    </w:p>
    <w:p w14:paraId="074213C2">
      <w:pPr>
        <w:spacing w:after="0" w:line="240" w:lineRule="auto"/>
        <w:ind w:firstLine="709"/>
        <w:jc w:val="both"/>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ar-SA"/>
        </w:rPr>
        <w:t>11.5. В целях сохранения единого архитектурного облика Объекта капитального строительство, Участнику долевого строительства запрещается производство работ по изменению фасада здания.</w:t>
      </w:r>
    </w:p>
    <w:p w14:paraId="0CFCAD41">
      <w:pPr>
        <w:spacing w:after="0" w:line="240" w:lineRule="auto"/>
        <w:ind w:firstLine="709"/>
        <w:jc w:val="both"/>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ar-SA"/>
        </w:rPr>
        <w:t>11.6. Участник долевого строительства обязуется не допускать изменение фасада Объекта капитального строительства путем устройства кондиционеров, спутниковых антенн в неустановленных для этого местах, а также изменение остекления оконных проемов/лоджий с отступлениями от проектных решений.</w:t>
      </w:r>
    </w:p>
    <w:p w14:paraId="548F5DCB">
      <w:pPr>
        <w:spacing w:after="0" w:line="240" w:lineRule="auto"/>
        <w:ind w:firstLine="709"/>
        <w:jc w:val="both"/>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ar-SA"/>
        </w:rPr>
        <w:t>11.7. Монтаж наружных блоков сплит-систем, сушилок для белья на фасаде Объекта капитального строительства производить только согласно плану расположения сплит-систем, который будет предоставлен Участнику долевого строительства при подписании Акта приема-передачи или организацией по облуживанию Объекта капитального строительства управляющей компанией.</w:t>
      </w:r>
    </w:p>
    <w:p w14:paraId="1B0E2404">
      <w:pPr>
        <w:spacing w:after="0" w:line="240" w:lineRule="auto"/>
        <w:ind w:firstLine="709"/>
        <w:jc w:val="both"/>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ar-SA"/>
        </w:rPr>
        <w:t>11.8. Любая информация о финансовом положении Сторон, условиях заключения настоящего договора, условиях договоров с третьими лицами, участвующими в строительстве объекта, будет считаться конфиденциальной и не подлежащей разглашению. Иные условия конфиденциальности могут быть установлены по требованию любой из Сторон.</w:t>
      </w:r>
    </w:p>
    <w:p w14:paraId="08887D2E">
      <w:pPr>
        <w:spacing w:after="0" w:line="240" w:lineRule="auto"/>
        <w:ind w:firstLine="709"/>
        <w:jc w:val="both"/>
        <w:rPr>
          <w:rFonts w:ascii="Times New Roman" w:hAnsi="Times New Roman" w:eastAsia="Calibri" w:cs="Times New Roman"/>
          <w:sz w:val="24"/>
          <w:szCs w:val="24"/>
          <w:lang w:eastAsia="ar-SA"/>
        </w:rPr>
      </w:pPr>
      <w:bookmarkStart w:id="33" w:name="_Hlk14192099"/>
      <w:r>
        <w:rPr>
          <w:rFonts w:ascii="Times New Roman" w:hAnsi="Times New Roman" w:eastAsia="Calibri" w:cs="Times New Roman"/>
          <w:sz w:val="24"/>
          <w:szCs w:val="24"/>
          <w:lang w:eastAsia="ar-SA"/>
        </w:rPr>
        <w:t>11.9.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14:paraId="77370B60">
      <w:pPr>
        <w:spacing w:after="0" w:line="240" w:lineRule="auto"/>
        <w:ind w:firstLine="709"/>
        <w:jc w:val="both"/>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ar-SA"/>
        </w:rPr>
        <w:t>11.10. После подписания настоящего Договора любые предшествующие дате подписания настоящего Договора и связанные с его предметом договоренности, соглашения, обязательства, оферты и заявления Сторон, как устные, так и письменные, утрачивают юридическую силу.</w:t>
      </w:r>
    </w:p>
    <w:p w14:paraId="741D2CD7">
      <w:pPr>
        <w:spacing w:after="0" w:line="240" w:lineRule="auto"/>
        <w:ind w:firstLine="709"/>
        <w:jc w:val="both"/>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ar-SA"/>
        </w:rPr>
        <w:t>После подписания настоящего Договора Стороны не вправе ссылаться на указанные в настоящем пункте договоренности, предшествующие дате его подписания за исключением случаев, прямо предусмотренных настоящим Договором.</w:t>
      </w:r>
      <w:bookmarkEnd w:id="33"/>
    </w:p>
    <w:p w14:paraId="1E4E1CDC">
      <w:pPr>
        <w:spacing w:after="0" w:line="240" w:lineRule="auto"/>
        <w:ind w:firstLine="426"/>
        <w:jc w:val="center"/>
        <w:rPr>
          <w:rFonts w:ascii="Times New Roman" w:hAnsi="Times New Roman" w:eastAsia="Calibri" w:cs="Times New Roman"/>
          <w:b/>
          <w:sz w:val="24"/>
          <w:szCs w:val="24"/>
          <w:lang w:eastAsia="ar-SA"/>
        </w:rPr>
      </w:pPr>
      <w:r>
        <w:rPr>
          <w:rFonts w:ascii="Times New Roman" w:hAnsi="Times New Roman" w:eastAsia="Calibri" w:cs="Times New Roman"/>
          <w:b/>
          <w:sz w:val="24"/>
          <w:szCs w:val="24"/>
          <w:lang w:eastAsia="ar-SA"/>
        </w:rPr>
        <w:t>12. ЗАКЛЮЧИТЕЛЬНЫЕ ПОЛОЖЕНИЯ</w:t>
      </w:r>
    </w:p>
    <w:p w14:paraId="35B5D500">
      <w:pPr>
        <w:spacing w:after="0" w:line="240" w:lineRule="auto"/>
        <w:ind w:firstLine="709"/>
        <w:jc w:val="both"/>
        <w:rPr>
          <w:rFonts w:ascii="Times New Roman" w:hAnsi="Times New Roman" w:eastAsia="Arial CYR" w:cs="Times New Roman"/>
          <w:sz w:val="24"/>
          <w:szCs w:val="24"/>
          <w:lang w:eastAsia="ru-RU"/>
        </w:rPr>
      </w:pPr>
      <w:r>
        <w:rPr>
          <w:rFonts w:ascii="Times New Roman" w:hAnsi="Times New Roman" w:eastAsia="Arial CYR" w:cs="Times New Roman"/>
          <w:sz w:val="24"/>
          <w:szCs w:val="24"/>
        </w:rPr>
        <w:t>12.1. Взаимоотношения Сторон, не урегулированные настоящим договором, регламентируются нормами действующего законодательства Российской Федерации.</w:t>
      </w:r>
    </w:p>
    <w:p w14:paraId="1BB939DE">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Lucida Sans Unicode" w:cs="Times New Roman"/>
          <w:sz w:val="24"/>
          <w:szCs w:val="24"/>
        </w:rPr>
        <w:t xml:space="preserve">12.2. </w:t>
      </w:r>
      <w:r>
        <w:rPr>
          <w:rFonts w:ascii="Times New Roman" w:hAnsi="Times New Roman" w:eastAsia="Arial CYR" w:cs="Times New Roman"/>
          <w:sz w:val="24"/>
          <w:szCs w:val="24"/>
          <w:lang w:eastAsia="ar-SA"/>
        </w:rPr>
        <w:t xml:space="preserve">Об изменениях в платежных, почтовых, паспортных и других реквизитах Стороны обязаны в течение 5 (пяти) календарных дней известить друг друга. </w:t>
      </w:r>
    </w:p>
    <w:p w14:paraId="2BEDBD76">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Уведомления по настоящему Договору совершается в письменной форме в виде заказного письма или телеграммы с уведомлением, курьерской службой доставки, направленным в отношении Застройщика в соответствии с его реквизитами, указанными в Договоре, а в отношении Участника</w:t>
      </w:r>
      <w:r>
        <w:t xml:space="preserve"> </w:t>
      </w:r>
      <w:r>
        <w:rPr>
          <w:rFonts w:ascii="Times New Roman" w:hAnsi="Times New Roman" w:eastAsia="Arial CYR" w:cs="Times New Roman"/>
          <w:sz w:val="24"/>
          <w:szCs w:val="24"/>
          <w:lang w:eastAsia="ar-SA"/>
        </w:rPr>
        <w:t>долевого строительства по почтовому адресу, указанному им при заключении Договора.</w:t>
      </w:r>
    </w:p>
    <w:p w14:paraId="5A8A1A1A">
      <w:pPr>
        <w:spacing w:after="0" w:line="240" w:lineRule="auto"/>
        <w:ind w:firstLine="709"/>
        <w:jc w:val="both"/>
      </w:pPr>
      <w:r>
        <w:rPr>
          <w:rFonts w:ascii="Times New Roman" w:hAnsi="Times New Roman" w:eastAsia="Arial CYR" w:cs="Times New Roman"/>
          <w:sz w:val="24"/>
          <w:szCs w:val="24"/>
          <w:lang w:eastAsia="ar-SA"/>
        </w:rPr>
        <w:t>Действия, совершенные до получения уведомления об изменении реквизитов, считаются исполненными надлежащим образом.</w:t>
      </w:r>
      <w:r>
        <w:t xml:space="preserve"> </w:t>
      </w:r>
    </w:p>
    <w:p w14:paraId="7F184729">
      <w:pPr>
        <w:spacing w:after="0" w:line="240" w:lineRule="auto"/>
        <w:ind w:firstLine="709"/>
        <w:jc w:val="both"/>
        <w:rPr>
          <w:rFonts w:ascii="Times New Roman" w:hAnsi="Times New Roman" w:eastAsia="Lucida Sans Unicode" w:cs="Times New Roman"/>
          <w:sz w:val="24"/>
          <w:szCs w:val="24"/>
        </w:rPr>
      </w:pPr>
      <w:r>
        <w:rPr>
          <w:rFonts w:ascii="Times New Roman" w:hAnsi="Times New Roman" w:eastAsia="Arial CYR" w:cs="Times New Roman"/>
          <w:sz w:val="24"/>
          <w:szCs w:val="24"/>
          <w:lang w:eastAsia="ar-SA"/>
        </w:rPr>
        <w:t>Застройщик будет считаться надлежаще уведомившим Участника долевого строительства с момента размещения сведений об изменении платежных, почтовых и иных реквизитов в сети Интернет на сайте по адресу</w:t>
      </w:r>
      <w:bookmarkStart w:id="34" w:name="_Hlk14197564"/>
      <w:r>
        <w:rPr>
          <w:rFonts w:ascii="Times New Roman" w:hAnsi="Times New Roman" w:eastAsia="Arial CYR" w:cs="Times New Roman"/>
          <w:sz w:val="24"/>
          <w:szCs w:val="24"/>
          <w:lang w:eastAsia="ar-SA"/>
        </w:rPr>
        <w:t xml:space="preserve"> </w:t>
      </w:r>
      <w:r>
        <w:fldChar w:fldCharType="begin"/>
      </w:r>
      <w:r>
        <w:instrText xml:space="preserve"> HYPERLINK </w:instrText>
      </w:r>
      <w:r>
        <w:fldChar w:fldCharType="separate"/>
      </w:r>
      <w:r>
        <w:rPr>
          <w:rStyle w:val="16"/>
          <w:rFonts w:ascii="Times New Roman" w:hAnsi="Times New Roman" w:cs="Times New Roman"/>
          <w:sz w:val="24"/>
          <w:szCs w:val="24"/>
          <w:shd w:val="clear" w:color="auto" w:fill="FFFFFF"/>
        </w:rPr>
        <w:t>https://lendex.group /</w:t>
      </w:r>
      <w:r>
        <w:rPr>
          <w:rStyle w:val="16"/>
          <w:rFonts w:ascii="Times New Roman" w:hAnsi="Times New Roman" w:cs="Times New Roman"/>
          <w:sz w:val="24"/>
          <w:szCs w:val="24"/>
          <w:shd w:val="clear" w:color="auto" w:fill="FFFFFF"/>
        </w:rPr>
        <w:fldChar w:fldCharType="end"/>
      </w:r>
      <w:r>
        <w:rPr>
          <w:rFonts w:ascii="Times New Roman" w:hAnsi="Times New Roman" w:eastAsia="Lucida Sans Unicode" w:cs="Times New Roman"/>
          <w:sz w:val="24"/>
          <w:szCs w:val="24"/>
        </w:rPr>
        <w:t xml:space="preserve"> </w:t>
      </w:r>
      <w:r>
        <w:rPr>
          <w:rFonts w:ascii="Times New Roman" w:hAnsi="Times New Roman" w:eastAsia="Arial CYR" w:cs="Times New Roman"/>
          <w:sz w:val="24"/>
          <w:szCs w:val="24"/>
          <w:lang w:eastAsia="ar-SA"/>
        </w:rPr>
        <w:t>и/или в Единой информационной системе жилищного строительства</w:t>
      </w:r>
      <w:r>
        <w:t xml:space="preserve"> </w:t>
      </w:r>
      <w:r>
        <w:rPr>
          <w:rFonts w:ascii="Times New Roman" w:hAnsi="Times New Roman" w:eastAsia="Arial CYR" w:cs="Times New Roman"/>
          <w:sz w:val="24"/>
          <w:szCs w:val="24"/>
          <w:lang w:eastAsia="ar-SA"/>
        </w:rPr>
        <w:t xml:space="preserve">на сайте </w:t>
      </w:r>
      <w:r>
        <w:fldChar w:fldCharType="begin"/>
      </w:r>
      <w:r>
        <w:instrText xml:space="preserve"> HYPERLINK "https://наш.дом.рф" </w:instrText>
      </w:r>
      <w:r>
        <w:fldChar w:fldCharType="separate"/>
      </w:r>
      <w:r>
        <w:rPr>
          <w:rStyle w:val="16"/>
          <w:rFonts w:ascii="Times New Roman" w:hAnsi="Times New Roman" w:eastAsia="Arial CYR" w:cs="Times New Roman"/>
          <w:sz w:val="24"/>
          <w:szCs w:val="24"/>
          <w:lang w:eastAsia="ar-SA"/>
        </w:rPr>
        <w:t>https://наш.дом.рф</w:t>
      </w:r>
      <w:r>
        <w:rPr>
          <w:rStyle w:val="16"/>
          <w:rFonts w:ascii="Times New Roman" w:hAnsi="Times New Roman" w:eastAsia="Arial CYR" w:cs="Times New Roman"/>
          <w:sz w:val="24"/>
          <w:szCs w:val="24"/>
          <w:lang w:eastAsia="ar-SA"/>
        </w:rPr>
        <w:fldChar w:fldCharType="end"/>
      </w:r>
      <w:r>
        <w:rPr>
          <w:rFonts w:ascii="Times New Roman" w:hAnsi="Times New Roman" w:eastAsia="Arial CYR" w:cs="Times New Roman"/>
          <w:sz w:val="24"/>
          <w:szCs w:val="24"/>
          <w:lang w:eastAsia="ar-SA"/>
        </w:rPr>
        <w:t xml:space="preserve"> /. </w:t>
      </w:r>
      <w:bookmarkEnd w:id="34"/>
    </w:p>
    <w:p w14:paraId="616EE96D">
      <w:pPr>
        <w:spacing w:after="0" w:line="240" w:lineRule="auto"/>
        <w:ind w:firstLine="709"/>
        <w:jc w:val="both"/>
        <w:rPr>
          <w:rFonts w:ascii="Times New Roman" w:hAnsi="Times New Roman" w:eastAsia="Arial CYR" w:cs="Times New Roman"/>
          <w:sz w:val="24"/>
          <w:szCs w:val="24"/>
          <w:lang w:eastAsia="ru-RU"/>
        </w:rPr>
      </w:pPr>
      <w:r>
        <w:rPr>
          <w:rFonts w:ascii="Times New Roman" w:hAnsi="Times New Roman" w:eastAsia="Arial CYR" w:cs="Times New Roman"/>
          <w:sz w:val="24"/>
          <w:szCs w:val="24"/>
          <w:lang w:eastAsia="ar-SA"/>
        </w:rPr>
        <w:t xml:space="preserve">12.3. Стороны будут разрешать возникающие между ними споры и разногласия путем переговоров, </w:t>
      </w:r>
      <w:r>
        <w:rPr>
          <w:rFonts w:ascii="Times New Roman" w:hAnsi="Times New Roman" w:eastAsia="Arial CYR" w:cs="Times New Roman"/>
          <w:sz w:val="24"/>
          <w:szCs w:val="24"/>
        </w:rPr>
        <w:t>при 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обязательным. Претензия должна быть рассмотрена и по ней должен быть дан ответ в течение 10 (десяти) дней со дня ее получения. В случае неурегулирования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будет передан на рассмотрение в судебном порядке в соответствии с законодательством Российской Федерации.</w:t>
      </w:r>
    </w:p>
    <w:p w14:paraId="76FDEC69">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12.4. Участник долевого строительства при заключении настоящего договора дает согласие на получение от Застройщика СМС-сообщений и подтверждает, что номер телефона, указанный в реквизитах настоящего договора, зарегистрирован на Участника долевого строительства и может использоваться для связи и СМС-сообщений. </w:t>
      </w:r>
    </w:p>
    <w:p w14:paraId="066374FB">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В соответствии с Федеральным законом от 13.03.2006 г. № 38-ФЗ «О рекламе» Участник долевого строительства дает согласие на получение рекламы по сетям электросвязи, в том числе посредством использования телефонной, факсимильной, подвижной радиотелефонной связи, в том числе посредством sms-уведомлений на номер телефона,</w:t>
      </w:r>
      <w:r>
        <w:t xml:space="preserve"> </w:t>
      </w:r>
      <w:r>
        <w:rPr>
          <w:rFonts w:ascii="Times New Roman" w:hAnsi="Times New Roman" w:eastAsia="Arial CYR" w:cs="Times New Roman"/>
          <w:sz w:val="24"/>
          <w:szCs w:val="24"/>
          <w:lang w:eastAsia="ar-SA"/>
        </w:rPr>
        <w:t>указанный в реквизитах настоящего договора.</w:t>
      </w:r>
    </w:p>
    <w:p w14:paraId="308B65FA">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Виды СМС-сообщений, направляемых Застройщиком:</w:t>
      </w:r>
    </w:p>
    <w:p w14:paraId="6ED3E269">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1. СМС-сообщения, направленные на сообщение об оплате по настоящему договору. Такие сообщения могут быть направлены как до даты очередного платежа в качестве напоминания о необходимости его оплаты, так и после даты очередного платежа, если он не был вовремя оплачен. </w:t>
      </w:r>
    </w:p>
    <w:p w14:paraId="51A1D7FF">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2. СМС-сообщения информационного характера.</w:t>
      </w:r>
    </w:p>
    <w:p w14:paraId="48E8233C">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3. СМС-сообщения информационного характера, направляемые Застройщиком в целях информирования Участника долевого строительства о его новых услугах, акциях, мероприятиях и т.п.</w:t>
      </w:r>
    </w:p>
    <w:p w14:paraId="0C9C8739">
      <w:pPr>
        <w:spacing w:after="0" w:line="240" w:lineRule="auto"/>
        <w:ind w:firstLine="709"/>
        <w:jc w:val="both"/>
        <w:rPr>
          <w:rFonts w:ascii="Times New Roman" w:hAnsi="Times New Roman" w:eastAsia="Arial CYR" w:cs="Times New Roman"/>
          <w:sz w:val="24"/>
          <w:szCs w:val="24"/>
          <w:lang w:eastAsia="ar-SA"/>
        </w:rPr>
      </w:pPr>
      <w:bookmarkStart w:id="35" w:name="_Hlk14192135"/>
      <w:r>
        <w:rPr>
          <w:rFonts w:ascii="Times New Roman" w:hAnsi="Times New Roman" w:eastAsia="Arial CYR" w:cs="Times New Roman"/>
          <w:sz w:val="24"/>
          <w:szCs w:val="24"/>
          <w:lang w:eastAsia="ar-SA"/>
        </w:rPr>
        <w:t>4. СМС-сообщения в целях заключения, государственной регистрации, исполнения настоящего Договора, государственной регистрации права собственности на Объект долевого строительства, надлежащего управления и эксплуатации Объекта долевого строительства,</w:t>
      </w:r>
      <w:r>
        <w:t xml:space="preserve"> </w:t>
      </w:r>
      <w:r>
        <w:rPr>
          <w:rFonts w:ascii="Times New Roman" w:hAnsi="Times New Roman" w:eastAsia="Arial CYR" w:cs="Times New Roman"/>
          <w:sz w:val="24"/>
          <w:szCs w:val="24"/>
          <w:lang w:eastAsia="ar-SA"/>
        </w:rPr>
        <w:t>Объекта капитального строительства.</w:t>
      </w:r>
      <w:bookmarkEnd w:id="35"/>
    </w:p>
    <w:p w14:paraId="6BFC41B0">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Могут встречаться и иные виды сообщений. </w:t>
      </w:r>
    </w:p>
    <w:p w14:paraId="4770EEAE">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Указанные СМС-сообщения могут направляться только в определенное время: с 8-00 до 22-00 в рабочие дни и с 9-00 до 20-00 в выходные и нерабочие праздничные дни по местному времени Застройщика.</w:t>
      </w:r>
    </w:p>
    <w:p w14:paraId="528158DC">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Телефон Участника долевого строительства – </w:t>
      </w:r>
    </w:p>
    <w:p w14:paraId="473ACCFC">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Адрес электронной почты Участника долевого строительства – </w:t>
      </w:r>
    </w:p>
    <w:p w14:paraId="35D6A9F4">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12.5. Настоящий договор составлен в 3 (трех) экземплярах: по одному для каждой из Сторон и один для Управления Федеральной службы государственной регистрации, кадастра и картографии по Краснодарскому краю. Все экземпляры имеют равную юридическую силу и являются оригиналами.</w:t>
      </w:r>
    </w:p>
    <w:p w14:paraId="0742B74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12.6. Приложения к настоящему договору:</w:t>
      </w:r>
    </w:p>
    <w:p w14:paraId="257DFD21">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Приложение № 1 - План и расположение по отношению друг к другу частей Объекта долевого строительства.</w:t>
      </w:r>
    </w:p>
    <w:p w14:paraId="6D64A8C3">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Приложение № 2 - Местоположение Объекта долевого строительства на этаже Объекта капитального строительства, его назначение, проектная общая площадь, количество и площадь комнат, помещений вспомогательного использования, лоджий, веранд, балконов, террас в Объекте долевого строительства, а также технические характеристики элементов внутренней отделки и комплектации Объекта долевого строительства.</w:t>
      </w:r>
    </w:p>
    <w:p w14:paraId="49AB2F82">
      <w:pPr>
        <w:pStyle w:val="184"/>
        <w:rPr>
          <w:lang w:eastAsia="ar-SA"/>
        </w:rPr>
      </w:pPr>
    </w:p>
    <w:p w14:paraId="474A7301">
      <w:pPr>
        <w:spacing w:after="0" w:line="240" w:lineRule="auto"/>
        <w:jc w:val="both"/>
        <w:rPr>
          <w:rFonts w:ascii="Times New Roman" w:hAnsi="Times New Roman" w:eastAsia="Arial CYR" w:cs="Times New Roman"/>
          <w:sz w:val="24"/>
          <w:szCs w:val="24"/>
          <w:lang w:eastAsia="ru-RU"/>
        </w:rPr>
      </w:pPr>
      <w:r>
        <w:rPr>
          <w:rFonts w:ascii="Times New Roman" w:hAnsi="Times New Roman" w:eastAsia="Arial CYR" w:cs="Times New Roman"/>
          <w:b/>
          <w:sz w:val="24"/>
          <w:szCs w:val="24"/>
        </w:rPr>
        <w:t>Застройщик: ООО СЗ «Марьянский парк»</w:t>
      </w:r>
      <w:r>
        <w:rPr>
          <w:rFonts w:ascii="Times New Roman" w:hAnsi="Times New Roman" w:eastAsia="Arial CYR" w:cs="Times New Roman"/>
          <w:sz w:val="24"/>
          <w:szCs w:val="24"/>
        </w:rPr>
        <w:t xml:space="preserve"> </w:t>
      </w:r>
    </w:p>
    <w:p w14:paraId="0E2AD2F8">
      <w:pPr>
        <w:pStyle w:val="200"/>
        <w:rPr>
          <w:rFonts w:ascii="Times New Roman" w:hAnsi="Times New Roman" w:cs="Times New Roman"/>
          <w:lang w:eastAsia="hi-IN"/>
        </w:rPr>
      </w:pPr>
      <w:r>
        <w:rPr>
          <w:rFonts w:ascii="Times New Roman" w:hAnsi="Times New Roman" w:cs="Times New Roman"/>
          <w:lang w:eastAsia="hi-IN"/>
        </w:rPr>
        <w:t>ИНН 2308288265 КПП 230801001 ОГРН 1222300057275</w:t>
      </w:r>
    </w:p>
    <w:p w14:paraId="1BEC3343">
      <w:pPr>
        <w:pStyle w:val="200"/>
        <w:rPr>
          <w:rFonts w:ascii="Times New Roman" w:hAnsi="Times New Roman" w:cs="Times New Roman"/>
          <w:sz w:val="24"/>
          <w:szCs w:val="24"/>
        </w:rPr>
      </w:pPr>
      <w:r>
        <w:rPr>
          <w:rFonts w:ascii="Times New Roman" w:hAnsi="Times New Roman" w:cs="Times New Roman"/>
          <w:sz w:val="24"/>
          <w:szCs w:val="24"/>
        </w:rPr>
        <w:t xml:space="preserve">Адрес места нахождения: </w:t>
      </w:r>
      <w:r>
        <w:rPr>
          <w:rFonts w:ascii="Times New Roman" w:hAnsi="Times New Roman"/>
          <w:sz w:val="24"/>
          <w:szCs w:val="24"/>
        </w:rPr>
        <w:t>350020, Краснодарский край, Г.О. город Краснодар, г. Краснодар, ул. Одесская, д.26, стр. 1, помещ. 1.</w:t>
      </w:r>
    </w:p>
    <w:p w14:paraId="4F774989">
      <w:pPr>
        <w:pStyle w:val="200"/>
        <w:rPr>
          <w:rFonts w:ascii="Times New Roman" w:hAnsi="Times New Roman" w:cs="Times New Roman"/>
          <w:sz w:val="24"/>
          <w:szCs w:val="24"/>
          <w:highlight w:val="yellow"/>
        </w:rPr>
      </w:pPr>
      <w:r>
        <w:rPr>
          <w:rFonts w:ascii="Times New Roman" w:hAnsi="Times New Roman" w:cs="Times New Roman"/>
          <w:sz w:val="24"/>
          <w:szCs w:val="24"/>
        </w:rPr>
        <w:t xml:space="preserve">Разрешение на строительство: </w:t>
      </w:r>
      <w:r>
        <w:rPr>
          <w:rFonts w:ascii="Times New Roman" w:hAnsi="Times New Roman" w:eastAsia="Arial CYR" w:cs="Times New Roman"/>
          <w:sz w:val="24"/>
          <w:szCs w:val="24"/>
        </w:rPr>
        <w:t>23-13-75-2023 от 14 ноября 2023 г.</w:t>
      </w:r>
    </w:p>
    <w:p w14:paraId="2E4CEF74">
      <w:pPr>
        <w:spacing w:after="0" w:line="240" w:lineRule="auto"/>
        <w:jc w:val="both"/>
        <w:rPr>
          <w:rFonts w:ascii="Times New Roman" w:hAnsi="Times New Roman" w:eastAsia="Arial CYR" w:cs="Times New Roman"/>
          <w:sz w:val="24"/>
          <w:szCs w:val="24"/>
        </w:rPr>
      </w:pPr>
    </w:p>
    <w:p w14:paraId="06427B3E">
      <w:pPr>
        <w:spacing w:after="0" w:line="240" w:lineRule="auto"/>
        <w:jc w:val="both"/>
        <w:rPr>
          <w:rFonts w:ascii="Times New Roman" w:hAnsi="Times New Roman" w:cs="Times New Roman"/>
          <w:b/>
          <w:bCs/>
          <w:sz w:val="24"/>
          <w:szCs w:val="24"/>
        </w:rPr>
      </w:pPr>
      <w:bookmarkStart w:id="36" w:name="_Hlk14197655"/>
      <w:r>
        <w:rPr>
          <w:rFonts w:ascii="Times New Roman" w:hAnsi="Times New Roman" w:cs="Times New Roman"/>
          <w:b/>
          <w:bCs/>
          <w:sz w:val="24"/>
          <w:szCs w:val="24"/>
        </w:rPr>
        <w:t xml:space="preserve">Генеральный директор управляющей организации </w:t>
      </w:r>
    </w:p>
    <w:p w14:paraId="3F7EAB80">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общества с ограниченной ответственностью </w:t>
      </w:r>
    </w:p>
    <w:p w14:paraId="79862D41">
      <w:pPr>
        <w:spacing w:after="0" w:line="240" w:lineRule="auto"/>
        <w:jc w:val="both"/>
        <w:rPr>
          <w:rFonts w:ascii="Times New Roman" w:hAnsi="Times New Roman" w:eastAsia="Arial CYR" w:cs="Times New Roman"/>
          <w:sz w:val="24"/>
          <w:szCs w:val="24"/>
          <w:highlight w:val="yellow"/>
        </w:rPr>
      </w:pPr>
      <w:r>
        <w:rPr>
          <w:rFonts w:ascii="Times New Roman" w:hAnsi="Times New Roman" w:cs="Times New Roman"/>
          <w:b/>
          <w:bCs/>
          <w:sz w:val="24"/>
          <w:szCs w:val="24"/>
        </w:rPr>
        <w:t>«Лендекс управление»</w:t>
      </w:r>
      <w:r>
        <w:rPr>
          <w:rFonts w:ascii="Times New Roman" w:hAnsi="Times New Roman" w:eastAsia="Arial CYR" w:cs="Times New Roman"/>
          <w:sz w:val="24"/>
          <w:szCs w:val="24"/>
        </w:rPr>
        <w:t>____________________________________/</w:t>
      </w:r>
      <w:r>
        <w:rPr>
          <w:rFonts w:ascii="Times New Roman" w:hAnsi="Times New Roman" w:eastAsia="Arial CYR" w:cs="Times New Roman"/>
          <w:sz w:val="24"/>
          <w:szCs w:val="24"/>
          <w:lang w:val="ru-RU"/>
        </w:rPr>
        <w:t>В</w:t>
      </w:r>
      <w:r>
        <w:rPr>
          <w:rFonts w:hint="default" w:ascii="Times New Roman" w:hAnsi="Times New Roman" w:eastAsia="Arial CYR" w:cs="Times New Roman"/>
          <w:sz w:val="24"/>
          <w:szCs w:val="24"/>
          <w:lang w:val="ru-RU"/>
        </w:rPr>
        <w:t>.Н. Морозова</w:t>
      </w:r>
      <w:r>
        <w:rPr>
          <w:rFonts w:ascii="Times New Roman" w:hAnsi="Times New Roman" w:eastAsia="Arial CYR" w:cs="Times New Roman"/>
          <w:sz w:val="24"/>
          <w:szCs w:val="24"/>
        </w:rPr>
        <w:t xml:space="preserve">/                                                                                                                                             </w:t>
      </w:r>
    </w:p>
    <w:p w14:paraId="2D889D9A">
      <w:pPr>
        <w:spacing w:after="0" w:line="240" w:lineRule="auto"/>
        <w:jc w:val="both"/>
        <w:rPr>
          <w:rFonts w:ascii="Times New Roman" w:hAnsi="Times New Roman" w:eastAsia="Arial CYR" w:cs="Times New Roman"/>
          <w:b/>
          <w:sz w:val="24"/>
          <w:szCs w:val="24"/>
          <w:lang w:eastAsia="ar-SA"/>
        </w:rPr>
      </w:pPr>
    </w:p>
    <w:p w14:paraId="6D12DA62">
      <w:pPr>
        <w:spacing w:after="0" w:line="240" w:lineRule="auto"/>
        <w:jc w:val="both"/>
        <w:rPr>
          <w:rFonts w:ascii="Times New Roman" w:hAnsi="Times New Roman" w:eastAsia="Lucida Sans Unicode" w:cs="Times New Roman"/>
          <w:b/>
          <w:sz w:val="24"/>
          <w:szCs w:val="24"/>
          <w:lang w:eastAsia="ru-RU"/>
        </w:rPr>
      </w:pPr>
      <w:r>
        <w:rPr>
          <w:rFonts w:ascii="Times New Roman" w:hAnsi="Times New Roman" w:eastAsia="Arial CYR" w:cs="Times New Roman"/>
          <w:b/>
          <w:sz w:val="24"/>
          <w:szCs w:val="24"/>
          <w:lang w:eastAsia="ar-SA"/>
        </w:rPr>
        <w:t>Участник долевого строительства:</w:t>
      </w:r>
      <w:r>
        <w:rPr>
          <w:rFonts w:ascii="Times New Roman" w:hAnsi="Times New Roman" w:eastAsia="Lucida Sans Unicode" w:cs="Times New Roman"/>
          <w:b/>
          <w:sz w:val="24"/>
          <w:szCs w:val="24"/>
        </w:rPr>
        <w:t xml:space="preserve"> </w:t>
      </w:r>
    </w:p>
    <w:p w14:paraId="19A378F9">
      <w:pPr>
        <w:pStyle w:val="184"/>
        <w:ind w:firstLine="0"/>
      </w:pPr>
      <w:r>
        <w:t xml:space="preserve">_________________________________________________________________________________ </w:t>
      </w:r>
    </w:p>
    <w:bookmarkEnd w:id="36"/>
    <w:p w14:paraId="7248B0DD">
      <w:pPr>
        <w:pStyle w:val="184"/>
        <w:ind w:firstLine="0"/>
        <w:rPr>
          <w:highlight w:val="yellow"/>
        </w:rPr>
      </w:pPr>
    </w:p>
    <w:p w14:paraId="6F3AFE34">
      <w:pPr>
        <w:pStyle w:val="184"/>
      </w:pPr>
      <w:r>
        <w:t xml:space="preserve">                                                            </w:t>
      </w:r>
    </w:p>
    <w:p w14:paraId="6ADFCB53">
      <w:pPr>
        <w:pStyle w:val="184"/>
      </w:pPr>
    </w:p>
    <w:p w14:paraId="69B60B1D">
      <w:pPr>
        <w:pStyle w:val="184"/>
      </w:pPr>
      <w:r>
        <w:t xml:space="preserve">                                                                  ПРИЛОЖЕНИЕ № 1 к договору № </w:t>
      </w:r>
      <w:r>
        <w:rPr>
          <w:b/>
          <w:lang w:eastAsia="ar-SA"/>
        </w:rPr>
        <w:fldChar w:fldCharType="begin"/>
      </w:r>
      <w:r>
        <w:rPr>
          <w:b/>
          <w:lang w:eastAsia="ar-SA"/>
        </w:rPr>
        <w:instrText xml:space="preserve"> FORMTEXT </w:instrText>
      </w:r>
      <w:r>
        <w:rPr>
          <w:b/>
          <w:lang w:eastAsia="ar-SA"/>
        </w:rPr>
        <w:fldChar w:fldCharType="separate"/>
      </w:r>
      <w:r>
        <w:rPr>
          <w:b/>
          <w:lang w:eastAsia="ar-SA"/>
        </w:rPr>
        <w:t>_____</w:t>
      </w:r>
      <w:r>
        <w:rPr>
          <w:b/>
          <w:lang w:eastAsia="ar-SA"/>
        </w:rPr>
        <w:fldChar w:fldCharType="end"/>
      </w:r>
      <w:r>
        <w:t xml:space="preserve"> </w:t>
      </w:r>
    </w:p>
    <w:p w14:paraId="07D5490E">
      <w:pPr>
        <w:pStyle w:val="184"/>
      </w:pPr>
      <w:r>
        <w:t xml:space="preserve">                                                                  Об участии в долевом строительстве </w:t>
      </w:r>
    </w:p>
    <w:p w14:paraId="1C6058AF">
      <w:pPr>
        <w:pStyle w:val="184"/>
      </w:pPr>
      <w:r>
        <w:t xml:space="preserve">                                                                  многоквартирного дома </w:t>
      </w:r>
    </w:p>
    <w:p w14:paraId="3736E6B3">
      <w:pPr>
        <w:pStyle w:val="184"/>
      </w:pPr>
      <w:r>
        <w:t xml:space="preserve">                                                                  от </w:t>
      </w:r>
      <w:r>
        <w:rPr>
          <w:lang w:eastAsia="ar-SA"/>
        </w:rPr>
        <w:t>«</w:t>
      </w:r>
      <w:r>
        <w:rPr>
          <w:b/>
          <w:lang w:eastAsia="ar-SA"/>
        </w:rPr>
        <w:fldChar w:fldCharType="begin"/>
      </w:r>
      <w:r>
        <w:rPr>
          <w:b/>
          <w:lang w:eastAsia="ar-SA"/>
        </w:rPr>
        <w:instrText xml:space="preserve"> FORMTEXT </w:instrText>
      </w:r>
      <w:r>
        <w:rPr>
          <w:b/>
          <w:lang w:eastAsia="ar-SA"/>
        </w:rPr>
        <w:fldChar w:fldCharType="separate"/>
      </w:r>
      <w:r>
        <w:rPr>
          <w:b/>
          <w:lang w:eastAsia="ar-SA"/>
        </w:rPr>
        <w:t>_____</w:t>
      </w:r>
      <w:r>
        <w:rPr>
          <w:b/>
          <w:lang w:eastAsia="ar-SA"/>
        </w:rPr>
        <w:fldChar w:fldCharType="end"/>
      </w:r>
      <w:r>
        <w:rPr>
          <w:lang w:eastAsia="ar-SA"/>
        </w:rPr>
        <w:t xml:space="preserve">» </w:t>
      </w:r>
      <w:r>
        <w:rPr>
          <w:b/>
          <w:lang w:eastAsia="ar-SA"/>
        </w:rPr>
        <w:fldChar w:fldCharType="begin"/>
      </w:r>
      <w:r>
        <w:rPr>
          <w:b/>
          <w:lang w:eastAsia="ar-SA"/>
        </w:rPr>
        <w:instrText xml:space="preserve"> FORMTEXT </w:instrText>
      </w:r>
      <w:r>
        <w:rPr>
          <w:b/>
          <w:lang w:eastAsia="ar-SA"/>
        </w:rPr>
        <w:fldChar w:fldCharType="separate"/>
      </w:r>
      <w:r>
        <w:rPr>
          <w:b/>
          <w:lang w:eastAsia="ar-SA"/>
        </w:rPr>
        <w:t>_____</w:t>
      </w:r>
      <w:r>
        <w:rPr>
          <w:b/>
          <w:lang w:eastAsia="ar-SA"/>
        </w:rPr>
        <w:fldChar w:fldCharType="end"/>
      </w:r>
      <w:r>
        <w:rPr>
          <w:lang w:eastAsia="ar-SA"/>
        </w:rPr>
        <w:t xml:space="preserve"> </w:t>
      </w:r>
      <w:r>
        <w:t>202__ г.</w:t>
      </w:r>
    </w:p>
    <w:p w14:paraId="503D328C">
      <w:pPr>
        <w:pStyle w:val="184"/>
        <w:rPr>
          <w:highlight w:val="yellow"/>
        </w:rPr>
      </w:pPr>
    </w:p>
    <w:sdt>
      <w:sdtPr>
        <w:rPr>
          <w:highlight w:val="yellow"/>
        </w:rPr>
        <w:id w:val="-925564431"/>
        <w:showingPlcHdr/>
        <w:picture/>
      </w:sdtPr>
      <w:sdtEndPr>
        <w:rPr>
          <w:highlight w:val="yellow"/>
        </w:rPr>
      </w:sdtEndPr>
      <w:sdtContent>
        <w:p w14:paraId="56C916AD">
          <w:pPr>
            <w:pStyle w:val="184"/>
            <w:rPr>
              <w:highlight w:val="yellow"/>
            </w:rPr>
          </w:pPr>
          <w:r>
            <w:rPr>
              <w:highlight w:val="yellow"/>
              <w:lang w:eastAsia="ru-RU"/>
            </w:rPr>
            <w:drawing>
              <wp:inline distT="0" distB="0" distL="0" distR="0">
                <wp:extent cx="1524000" cy="1524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12"/>
                        <a:stretch>
                          <a:fillRect/>
                        </a:stretch>
                      </pic:blipFill>
                      <pic:spPr>
                        <a:xfrm>
                          <a:off x="0" y="0"/>
                          <a:ext cx="1524000" cy="1524000"/>
                        </a:xfrm>
                        <a:prstGeom prst="rect">
                          <a:avLst/>
                        </a:prstGeom>
                        <a:noFill/>
                        <a:ln>
                          <a:noFill/>
                        </a:ln>
                      </pic:spPr>
                    </pic:pic>
                  </a:graphicData>
                </a:graphic>
              </wp:inline>
            </w:drawing>
          </w:r>
        </w:p>
      </w:sdtContent>
    </w:sdt>
    <w:p w14:paraId="7B77C150">
      <w:pPr>
        <w:pStyle w:val="184"/>
        <w:rPr>
          <w:highlight w:val="yellow"/>
        </w:rPr>
      </w:pPr>
    </w:p>
    <w:p w14:paraId="3C400B6E">
      <w:pPr>
        <w:pStyle w:val="184"/>
        <w:rPr>
          <w:highlight w:val="yellow"/>
        </w:rPr>
      </w:pPr>
    </w:p>
    <w:p w14:paraId="00034E10">
      <w:pPr>
        <w:pStyle w:val="184"/>
        <w:rPr>
          <w:highlight w:val="yellow"/>
        </w:rPr>
      </w:pPr>
    </w:p>
    <w:p w14:paraId="19D659C9">
      <w:pPr>
        <w:pStyle w:val="184"/>
        <w:rPr>
          <w:highlight w:val="yellow"/>
        </w:rPr>
      </w:pPr>
    </w:p>
    <w:p w14:paraId="4F3F40AC">
      <w:pPr>
        <w:pStyle w:val="184"/>
        <w:rPr>
          <w:highlight w:val="yellow"/>
        </w:rPr>
      </w:pPr>
    </w:p>
    <w:p w14:paraId="48A0E72E">
      <w:pPr>
        <w:pStyle w:val="184"/>
        <w:rPr>
          <w:highlight w:val="yellow"/>
        </w:rPr>
      </w:pPr>
    </w:p>
    <w:p w14:paraId="5FD1A607">
      <w:pPr>
        <w:pStyle w:val="184"/>
        <w:rPr>
          <w:highlight w:val="yellow"/>
        </w:rPr>
      </w:pPr>
    </w:p>
    <w:p w14:paraId="08DB3DFA">
      <w:pPr>
        <w:pStyle w:val="184"/>
        <w:rPr>
          <w:highlight w:val="yellow"/>
        </w:rPr>
      </w:pPr>
    </w:p>
    <w:p w14:paraId="5DE554B8">
      <w:pPr>
        <w:pStyle w:val="184"/>
        <w:rPr>
          <w:highlight w:val="yellow"/>
        </w:rPr>
      </w:pPr>
    </w:p>
    <w:p w14:paraId="41EFF9D3">
      <w:pPr>
        <w:pStyle w:val="184"/>
        <w:rPr>
          <w:highlight w:val="yellow"/>
        </w:rPr>
      </w:pPr>
    </w:p>
    <w:p w14:paraId="2E4FEB78">
      <w:pPr>
        <w:pStyle w:val="184"/>
        <w:ind w:firstLine="0"/>
      </w:pPr>
      <w:bookmarkStart w:id="37" w:name="_Hlk14197744"/>
      <w:r>
        <w:t>Примечание: границы не</w:t>
      </w:r>
      <w:r>
        <w:rPr>
          <w:lang w:eastAsia="ar-SA"/>
        </w:rPr>
        <w:t xml:space="preserve">жилого помещения № </w:t>
      </w:r>
      <w:r>
        <w:rPr>
          <w:b/>
          <w:lang w:eastAsia="ar-SA"/>
        </w:rPr>
        <w:fldChar w:fldCharType="begin"/>
      </w:r>
      <w:r>
        <w:rPr>
          <w:b/>
          <w:lang w:eastAsia="ar-SA"/>
        </w:rPr>
        <w:instrText xml:space="preserve"> FORMTEXT </w:instrText>
      </w:r>
      <w:r>
        <w:rPr>
          <w:b/>
          <w:lang w:eastAsia="ar-SA"/>
        </w:rPr>
        <w:fldChar w:fldCharType="separate"/>
      </w:r>
      <w:r>
        <w:rPr>
          <w:b/>
          <w:lang w:eastAsia="ar-SA"/>
        </w:rPr>
        <w:t>_____</w:t>
      </w:r>
      <w:r>
        <w:rPr>
          <w:b/>
          <w:lang w:eastAsia="ar-SA"/>
        </w:rPr>
        <w:fldChar w:fldCharType="end"/>
      </w:r>
      <w:r>
        <w:rPr>
          <w:lang w:eastAsia="ar-SA"/>
        </w:rPr>
        <w:t xml:space="preserve">, этаж – </w:t>
      </w:r>
      <w:r>
        <w:rPr>
          <w:b/>
          <w:lang w:eastAsia="ar-SA"/>
        </w:rPr>
        <w:fldChar w:fldCharType="begin"/>
      </w:r>
      <w:r>
        <w:rPr>
          <w:b/>
          <w:lang w:eastAsia="ar-SA"/>
        </w:rPr>
        <w:instrText xml:space="preserve"> FORMTEXT </w:instrText>
      </w:r>
      <w:r>
        <w:rPr>
          <w:b/>
          <w:lang w:eastAsia="ar-SA"/>
        </w:rPr>
        <w:fldChar w:fldCharType="separate"/>
      </w:r>
      <w:r>
        <w:rPr>
          <w:b/>
          <w:lang w:eastAsia="ar-SA"/>
        </w:rPr>
        <w:t>_____</w:t>
      </w:r>
      <w:r>
        <w:rPr>
          <w:b/>
          <w:lang w:eastAsia="ar-SA"/>
        </w:rPr>
        <w:fldChar w:fldCharType="end"/>
      </w:r>
      <w:r>
        <w:rPr>
          <w:rStyle w:val="189"/>
          <w:b w:val="0"/>
        </w:rPr>
        <w:t xml:space="preserve"> Литер – 4</w:t>
      </w:r>
      <w:r>
        <w:rPr>
          <w:b/>
          <w:lang w:eastAsia="ar-SA"/>
        </w:rPr>
        <w:t xml:space="preserve">, </w:t>
      </w:r>
      <w:r>
        <w:rPr>
          <w:rStyle w:val="189"/>
          <w:b w:val="0"/>
        </w:rPr>
        <w:t xml:space="preserve">находящейся в </w:t>
      </w:r>
      <w:bookmarkEnd w:id="37"/>
      <w:r>
        <w:t>________________ (_________________).</w:t>
      </w:r>
    </w:p>
    <w:p w14:paraId="4B092FF0">
      <w:pPr>
        <w:pStyle w:val="184"/>
        <w:ind w:firstLine="0"/>
      </w:pPr>
      <w:r>
        <w:t>С расположением Объекта долевого строительства Участник долевого строительства ознакомлен и согласен.</w:t>
      </w:r>
    </w:p>
    <w:p w14:paraId="3A80DFC2">
      <w:pPr>
        <w:pStyle w:val="184"/>
        <w:ind w:firstLine="0"/>
        <w:rPr>
          <w:highlight w:val="yellow"/>
        </w:rPr>
      </w:pPr>
    </w:p>
    <w:tbl>
      <w:tblPr>
        <w:tblStyle w:val="12"/>
        <w:tblW w:w="992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00"/>
        <w:gridCol w:w="5023"/>
      </w:tblGrid>
      <w:tr w14:paraId="439F2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trPr>
        <w:tc>
          <w:tcPr>
            <w:tcW w:w="4900" w:type="dxa"/>
            <w:tcBorders>
              <w:top w:val="single" w:color="auto" w:sz="4" w:space="0"/>
              <w:left w:val="single" w:color="auto" w:sz="4" w:space="0"/>
              <w:bottom w:val="single" w:color="auto" w:sz="4" w:space="0"/>
              <w:right w:val="single" w:color="auto" w:sz="4" w:space="0"/>
            </w:tcBorders>
          </w:tcPr>
          <w:p w14:paraId="25FAB53A">
            <w:pPr>
              <w:spacing w:after="0" w:line="240" w:lineRule="auto"/>
              <w:jc w:val="both"/>
              <w:rPr>
                <w:rFonts w:ascii="Times New Roman" w:hAnsi="Times New Roman" w:cs="Times New Roman"/>
                <w:b/>
                <w:bCs/>
                <w:sz w:val="24"/>
                <w:szCs w:val="24"/>
              </w:rPr>
            </w:pPr>
            <w:r>
              <w:rPr>
                <w:rFonts w:ascii="Times New Roman" w:hAnsi="Times New Roman" w:eastAsia="Arial CYR" w:cs="Times New Roman"/>
                <w:bCs/>
                <w:sz w:val="24"/>
                <w:szCs w:val="24"/>
              </w:rPr>
              <w:t xml:space="preserve">Застройщик: </w:t>
            </w:r>
            <w:r>
              <w:rPr>
                <w:rFonts w:ascii="Times New Roman" w:hAnsi="Times New Roman" w:cs="Times New Roman"/>
                <w:b/>
                <w:bCs/>
                <w:sz w:val="24"/>
                <w:szCs w:val="24"/>
              </w:rPr>
              <w:t xml:space="preserve">Генеральный директор управляющей организации </w:t>
            </w:r>
          </w:p>
          <w:p w14:paraId="1E072A6B">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общества с ограниченной ответственностью «Лендекс управление»</w:t>
            </w:r>
          </w:p>
          <w:p w14:paraId="13F31521">
            <w:pPr>
              <w:spacing w:after="0" w:line="240" w:lineRule="auto"/>
              <w:jc w:val="both"/>
              <w:rPr>
                <w:rFonts w:ascii="Times New Roman" w:hAnsi="Times New Roman" w:eastAsia="Arial CYR" w:cs="Times New Roman"/>
                <w:bCs/>
                <w:sz w:val="24"/>
                <w:szCs w:val="24"/>
              </w:rPr>
            </w:pPr>
          </w:p>
          <w:p w14:paraId="6F7E46B0">
            <w:pPr>
              <w:spacing w:after="0" w:line="240" w:lineRule="auto"/>
              <w:jc w:val="both"/>
              <w:rPr>
                <w:rFonts w:ascii="Times New Roman" w:hAnsi="Times New Roman" w:eastAsia="Arial CYR" w:cs="Times New Roman"/>
                <w:bCs/>
                <w:sz w:val="24"/>
                <w:szCs w:val="24"/>
              </w:rPr>
            </w:pPr>
            <w:r>
              <w:rPr>
                <w:rFonts w:ascii="Times New Roman" w:hAnsi="Times New Roman" w:eastAsia="Arial CYR" w:cs="Times New Roman"/>
                <w:bCs/>
                <w:sz w:val="24"/>
                <w:szCs w:val="24"/>
              </w:rPr>
              <w:t>____________________/</w:t>
            </w:r>
            <w:r>
              <w:rPr>
                <w:rFonts w:ascii="Times New Roman" w:hAnsi="Times New Roman" w:eastAsia="Arial CYR" w:cs="Times New Roman"/>
                <w:bCs/>
                <w:sz w:val="24"/>
                <w:szCs w:val="24"/>
                <w:lang w:val="ru-RU"/>
              </w:rPr>
              <w:t>В</w:t>
            </w:r>
            <w:r>
              <w:rPr>
                <w:rFonts w:hint="default" w:ascii="Times New Roman" w:hAnsi="Times New Roman" w:eastAsia="Arial CYR" w:cs="Times New Roman"/>
                <w:bCs/>
                <w:sz w:val="24"/>
                <w:szCs w:val="24"/>
                <w:lang w:val="ru-RU"/>
              </w:rPr>
              <w:t>.Н. Морозова</w:t>
            </w:r>
            <w:r>
              <w:rPr>
                <w:rFonts w:ascii="Times New Roman" w:hAnsi="Times New Roman" w:eastAsia="Arial CYR" w:cs="Times New Roman"/>
                <w:bCs/>
                <w:sz w:val="24"/>
                <w:szCs w:val="24"/>
              </w:rPr>
              <w:t xml:space="preserve">/ </w:t>
            </w:r>
          </w:p>
          <w:p w14:paraId="1A86543E">
            <w:pPr>
              <w:spacing w:after="0" w:line="240" w:lineRule="auto"/>
              <w:ind w:firstLine="142"/>
              <w:jc w:val="both"/>
              <w:rPr>
                <w:rFonts w:ascii="Times New Roman" w:hAnsi="Times New Roman" w:eastAsia="Arial CYR" w:cs="Times New Roman"/>
                <w:bCs/>
                <w:sz w:val="24"/>
                <w:szCs w:val="24"/>
              </w:rPr>
            </w:pPr>
          </w:p>
        </w:tc>
        <w:tc>
          <w:tcPr>
            <w:tcW w:w="5023" w:type="dxa"/>
            <w:tcBorders>
              <w:top w:val="single" w:color="auto" w:sz="4" w:space="0"/>
              <w:left w:val="single" w:color="auto" w:sz="4" w:space="0"/>
              <w:bottom w:val="single" w:color="auto" w:sz="4" w:space="0"/>
              <w:right w:val="single" w:color="auto" w:sz="4" w:space="0"/>
            </w:tcBorders>
          </w:tcPr>
          <w:p w14:paraId="2E5A9D33">
            <w:pPr>
              <w:spacing w:after="0" w:line="240" w:lineRule="auto"/>
              <w:jc w:val="both"/>
              <w:rPr>
                <w:rFonts w:ascii="Times New Roman" w:hAnsi="Times New Roman" w:eastAsia="Arial CYR" w:cs="Times New Roman"/>
                <w:bCs/>
                <w:sz w:val="24"/>
                <w:szCs w:val="24"/>
              </w:rPr>
            </w:pPr>
            <w:r>
              <w:rPr>
                <w:rFonts w:ascii="Times New Roman" w:hAnsi="Times New Roman" w:eastAsia="Arial CYR" w:cs="Times New Roman"/>
                <w:bCs/>
                <w:sz w:val="24"/>
                <w:szCs w:val="24"/>
              </w:rPr>
              <w:t>Участник долевого строительства:</w:t>
            </w:r>
          </w:p>
          <w:p w14:paraId="654D7CB9">
            <w:pPr>
              <w:spacing w:after="0" w:line="240" w:lineRule="auto"/>
              <w:jc w:val="both"/>
              <w:rPr>
                <w:rFonts w:ascii="Times New Roman" w:hAnsi="Times New Roman" w:eastAsia="Calibri"/>
                <w:b/>
                <w:sz w:val="24"/>
                <w:szCs w:val="24"/>
              </w:rPr>
            </w:pPr>
            <w:r>
              <w:rPr>
                <w:rFonts w:ascii="Times New Roman" w:hAnsi="Times New Roman" w:eastAsia="Calibri"/>
                <w:b/>
                <w:sz w:val="24"/>
                <w:szCs w:val="24"/>
              </w:rPr>
              <w:t xml:space="preserve">      </w:t>
            </w:r>
          </w:p>
          <w:p w14:paraId="68B6C52F">
            <w:pPr>
              <w:spacing w:after="0" w:line="240" w:lineRule="auto"/>
              <w:jc w:val="both"/>
              <w:rPr>
                <w:rFonts w:ascii="Times New Roman" w:hAnsi="Times New Roman" w:eastAsia="Calibri"/>
                <w:b/>
                <w:sz w:val="24"/>
                <w:szCs w:val="24"/>
              </w:rPr>
            </w:pPr>
            <w:r>
              <w:rPr>
                <w:rFonts w:ascii="Times New Roman" w:hAnsi="Times New Roman" w:eastAsia="Calibri"/>
                <w:b/>
                <w:sz w:val="24"/>
                <w:szCs w:val="24"/>
              </w:rPr>
              <w:t xml:space="preserve">                                          </w:t>
            </w:r>
          </w:p>
          <w:p w14:paraId="46B77F34">
            <w:pPr>
              <w:spacing w:after="0" w:line="240" w:lineRule="auto"/>
              <w:jc w:val="both"/>
              <w:rPr>
                <w:rFonts w:ascii="Times New Roman" w:hAnsi="Times New Roman" w:eastAsia="Calibri"/>
                <w:b/>
                <w:sz w:val="24"/>
                <w:szCs w:val="24"/>
              </w:rPr>
            </w:pPr>
          </w:p>
          <w:p w14:paraId="0897D3A6">
            <w:pPr>
              <w:spacing w:after="0" w:line="240" w:lineRule="auto"/>
              <w:jc w:val="both"/>
              <w:rPr>
                <w:rFonts w:ascii="Times New Roman" w:hAnsi="Times New Roman" w:eastAsia="Calibri"/>
                <w:b/>
                <w:sz w:val="24"/>
                <w:szCs w:val="24"/>
              </w:rPr>
            </w:pPr>
            <w:r>
              <w:rPr>
                <w:rFonts w:ascii="Times New Roman" w:hAnsi="Times New Roman" w:eastAsia="Calibri"/>
                <w:b/>
                <w:sz w:val="24"/>
                <w:szCs w:val="24"/>
              </w:rPr>
              <w:t xml:space="preserve">                                                                             ________________________________________            </w:t>
            </w:r>
          </w:p>
        </w:tc>
      </w:tr>
    </w:tbl>
    <w:p w14:paraId="4CB63250">
      <w:pPr>
        <w:pStyle w:val="184"/>
        <w:rPr>
          <w:highlight w:val="yellow"/>
        </w:rPr>
      </w:pPr>
    </w:p>
    <w:p w14:paraId="04B50A7F">
      <w:pPr>
        <w:spacing w:line="259" w:lineRule="auto"/>
        <w:ind w:left="6372"/>
        <w:rPr>
          <w:rFonts w:ascii="Times New Roman" w:hAnsi="Times New Roman" w:cs="Times New Roman"/>
        </w:rPr>
      </w:pPr>
      <w:r>
        <w:rPr>
          <w:sz w:val="24"/>
          <w:szCs w:val="24"/>
          <w:highlight w:val="yellow"/>
        </w:rPr>
        <w:br w:type="page" w:clear="all"/>
      </w:r>
      <w:r>
        <w:rPr>
          <w:rFonts w:ascii="Times New Roman" w:hAnsi="Times New Roman" w:cs="Times New Roman"/>
        </w:rPr>
        <w:t xml:space="preserve">ПРИЛОЖЕНИЕ № 2 к договору № _____Об участии в долевом строительстве многоквартирного дома от </w:t>
      </w:r>
      <w:r>
        <w:rPr>
          <w:rFonts w:ascii="Times New Roman" w:hAnsi="Times New Roman" w:cs="Times New Roman"/>
          <w:lang w:eastAsia="ar-SA"/>
        </w:rPr>
        <w:t>«</w:t>
      </w:r>
      <w:r>
        <w:rPr>
          <w:rFonts w:ascii="Times New Roman" w:hAnsi="Times New Roman" w:cs="Times New Roman"/>
          <w:b/>
          <w:lang w:eastAsia="ar-SA"/>
        </w:rPr>
        <w:fldChar w:fldCharType="begin"/>
      </w:r>
      <w:r>
        <w:rPr>
          <w:rFonts w:ascii="Times New Roman" w:hAnsi="Times New Roman" w:cs="Times New Roman"/>
          <w:b/>
          <w:lang w:eastAsia="ar-SA"/>
        </w:rPr>
        <w:instrText xml:space="preserve"> FORMTEXT </w:instrText>
      </w:r>
      <w:r>
        <w:rPr>
          <w:rFonts w:ascii="Times New Roman" w:hAnsi="Times New Roman" w:cs="Times New Roman"/>
          <w:b/>
          <w:lang w:eastAsia="ar-SA"/>
        </w:rPr>
        <w:fldChar w:fldCharType="separate"/>
      </w:r>
      <w:r>
        <w:rPr>
          <w:rFonts w:ascii="Times New Roman" w:hAnsi="Times New Roman" w:cs="Times New Roman"/>
          <w:b/>
          <w:lang w:eastAsia="ar-SA"/>
        </w:rPr>
        <w:t>_____</w:t>
      </w:r>
      <w:r>
        <w:rPr>
          <w:rFonts w:ascii="Times New Roman" w:hAnsi="Times New Roman" w:cs="Times New Roman"/>
          <w:b/>
          <w:lang w:eastAsia="ar-SA"/>
        </w:rPr>
        <w:fldChar w:fldCharType="end"/>
      </w:r>
      <w:r>
        <w:rPr>
          <w:rFonts w:ascii="Times New Roman" w:hAnsi="Times New Roman" w:cs="Times New Roman"/>
          <w:lang w:eastAsia="ar-SA"/>
        </w:rPr>
        <w:t xml:space="preserve">» </w:t>
      </w:r>
      <w:r>
        <w:rPr>
          <w:rFonts w:ascii="Times New Roman" w:hAnsi="Times New Roman" w:cs="Times New Roman"/>
          <w:b/>
          <w:lang w:eastAsia="ar-SA"/>
        </w:rPr>
        <w:fldChar w:fldCharType="begin"/>
      </w:r>
      <w:r>
        <w:rPr>
          <w:rFonts w:ascii="Times New Roman" w:hAnsi="Times New Roman" w:cs="Times New Roman"/>
          <w:b/>
          <w:lang w:eastAsia="ar-SA"/>
        </w:rPr>
        <w:instrText xml:space="preserve"> FORMTEXT </w:instrText>
      </w:r>
      <w:r>
        <w:rPr>
          <w:rFonts w:ascii="Times New Roman" w:hAnsi="Times New Roman" w:cs="Times New Roman"/>
          <w:b/>
          <w:lang w:eastAsia="ar-SA"/>
        </w:rPr>
        <w:fldChar w:fldCharType="separate"/>
      </w:r>
      <w:r>
        <w:rPr>
          <w:rFonts w:ascii="Times New Roman" w:hAnsi="Times New Roman" w:cs="Times New Roman"/>
          <w:b/>
          <w:lang w:eastAsia="ar-SA"/>
        </w:rPr>
        <w:t>_____</w:t>
      </w:r>
      <w:r>
        <w:rPr>
          <w:rFonts w:ascii="Times New Roman" w:hAnsi="Times New Roman" w:cs="Times New Roman"/>
          <w:b/>
          <w:lang w:eastAsia="ar-SA"/>
        </w:rPr>
        <w:fldChar w:fldCharType="end"/>
      </w:r>
      <w:r>
        <w:rPr>
          <w:rFonts w:ascii="Times New Roman" w:hAnsi="Times New Roman" w:cs="Times New Roman"/>
          <w:lang w:eastAsia="ar-SA"/>
        </w:rPr>
        <w:t xml:space="preserve"> </w:t>
      </w:r>
      <w:r>
        <w:rPr>
          <w:rFonts w:ascii="Times New Roman" w:hAnsi="Times New Roman" w:cs="Times New Roman"/>
        </w:rPr>
        <w:t>202__ г.</w:t>
      </w:r>
    </w:p>
    <w:p w14:paraId="30605F0A">
      <w:pPr>
        <w:pStyle w:val="184"/>
        <w:ind w:firstLine="0"/>
        <w:rPr>
          <w:sz w:val="22"/>
          <w:szCs w:val="22"/>
        </w:rPr>
      </w:pPr>
      <w:bookmarkStart w:id="38" w:name="_Hlk14198042"/>
    </w:p>
    <w:p w14:paraId="7C2ABF3F">
      <w:pPr>
        <w:pStyle w:val="184"/>
        <w:ind w:firstLine="0"/>
        <w:rPr>
          <w:sz w:val="22"/>
          <w:szCs w:val="22"/>
        </w:rPr>
      </w:pPr>
      <w:r>
        <w:rPr>
          <w:sz w:val="22"/>
          <w:szCs w:val="22"/>
        </w:rPr>
        <w:t>Техническая характеристика Объекта долевого строительства:</w:t>
      </w:r>
    </w:p>
    <w:p w14:paraId="0EF7D212">
      <w:pPr>
        <w:pStyle w:val="184"/>
        <w:ind w:firstLine="0"/>
        <w:rPr>
          <w:sz w:val="22"/>
          <w:szCs w:val="22"/>
        </w:rPr>
      </w:pPr>
      <w:r>
        <w:rPr>
          <w:sz w:val="22"/>
          <w:szCs w:val="22"/>
        </w:rPr>
        <w:t>Назначение Объекта долевого строительства - нежилое помещение</w:t>
      </w:r>
    </w:p>
    <w:p w14:paraId="5442AB85">
      <w:pPr>
        <w:spacing w:after="0" w:line="240" w:lineRule="auto"/>
        <w:jc w:val="both"/>
        <w:rPr>
          <w:rFonts w:ascii="Times New Roman" w:hAnsi="Times New Roman" w:eastAsia="Arial CYR" w:cs="Times New Roman"/>
          <w:b/>
          <w:bCs/>
          <w:lang w:eastAsia="ar-SA"/>
        </w:rPr>
      </w:pPr>
      <w:r>
        <w:rPr>
          <w:rFonts w:ascii="Times New Roman" w:hAnsi="Times New Roman" w:cs="Times New Roman"/>
        </w:rPr>
        <w:t xml:space="preserve">Нежилое помещение - №: </w:t>
      </w:r>
      <w:r>
        <w:rPr>
          <w:rFonts w:ascii="Times New Roman" w:hAnsi="Times New Roman" w:cs="Times New Roman"/>
          <w:b/>
          <w:lang w:eastAsia="ar-SA"/>
        </w:rPr>
        <w:fldChar w:fldCharType="begin"/>
      </w:r>
      <w:r>
        <w:rPr>
          <w:rFonts w:ascii="Times New Roman" w:hAnsi="Times New Roman" w:cs="Times New Roman"/>
          <w:b/>
          <w:lang w:eastAsia="ar-SA"/>
        </w:rPr>
        <w:instrText xml:space="preserve"> FORMTEXT </w:instrText>
      </w:r>
      <w:r>
        <w:rPr>
          <w:rFonts w:ascii="Times New Roman" w:hAnsi="Times New Roman" w:cs="Times New Roman"/>
          <w:b/>
          <w:lang w:eastAsia="ar-SA"/>
        </w:rPr>
        <w:fldChar w:fldCharType="separate"/>
      </w:r>
      <w:r>
        <w:rPr>
          <w:rFonts w:ascii="Times New Roman" w:hAnsi="Times New Roman" w:cs="Times New Roman"/>
          <w:b/>
          <w:lang w:eastAsia="ar-SA"/>
        </w:rPr>
        <w:t>_____</w:t>
      </w:r>
      <w:r>
        <w:rPr>
          <w:rFonts w:ascii="Times New Roman" w:hAnsi="Times New Roman" w:cs="Times New Roman"/>
          <w:b/>
          <w:lang w:eastAsia="ar-SA"/>
        </w:rPr>
        <w:fldChar w:fldCharType="end"/>
      </w:r>
      <w:r>
        <w:rPr>
          <w:rFonts w:ascii="Times New Roman" w:hAnsi="Times New Roman" w:cs="Times New Roman"/>
        </w:rPr>
        <w:t xml:space="preserve">, этаж - </w:t>
      </w:r>
      <w:r>
        <w:rPr>
          <w:rFonts w:ascii="Times New Roman" w:hAnsi="Times New Roman" w:cs="Times New Roman"/>
          <w:b/>
          <w:lang w:eastAsia="ar-SA"/>
        </w:rPr>
        <w:fldChar w:fldCharType="begin"/>
      </w:r>
      <w:r>
        <w:rPr>
          <w:rFonts w:ascii="Times New Roman" w:hAnsi="Times New Roman" w:cs="Times New Roman"/>
          <w:b/>
          <w:lang w:eastAsia="ar-SA"/>
        </w:rPr>
        <w:instrText xml:space="preserve"> FORMTEXT </w:instrText>
      </w:r>
      <w:r>
        <w:rPr>
          <w:rFonts w:ascii="Times New Roman" w:hAnsi="Times New Roman" w:cs="Times New Roman"/>
          <w:b/>
          <w:lang w:eastAsia="ar-SA"/>
        </w:rPr>
        <w:fldChar w:fldCharType="separate"/>
      </w:r>
      <w:r>
        <w:rPr>
          <w:rFonts w:ascii="Times New Roman" w:hAnsi="Times New Roman" w:cs="Times New Roman"/>
          <w:b/>
          <w:lang w:eastAsia="ar-SA"/>
        </w:rPr>
        <w:t>_____</w:t>
      </w:r>
      <w:r>
        <w:rPr>
          <w:rFonts w:ascii="Times New Roman" w:hAnsi="Times New Roman" w:cs="Times New Roman"/>
          <w:b/>
          <w:lang w:eastAsia="ar-SA"/>
        </w:rPr>
        <w:fldChar w:fldCharType="end"/>
      </w:r>
      <w:r>
        <w:rPr>
          <w:rFonts w:ascii="Times New Roman" w:hAnsi="Times New Roman" w:cs="Times New Roman"/>
        </w:rPr>
        <w:t xml:space="preserve">, Литер – 4, находящаяся в </w:t>
      </w:r>
      <w:r>
        <w:rPr>
          <w:rFonts w:ascii="Times New Roman" w:hAnsi="Times New Roman" w:eastAsia="Arial CYR" w:cs="Times New Roman"/>
          <w:lang w:eastAsia="ar-SA"/>
        </w:rPr>
        <w:t xml:space="preserve">Жилой комплексной застройке по адресу: </w:t>
      </w:r>
      <w:r>
        <w:rPr>
          <w:rFonts w:ascii="Times New Roman" w:hAnsi="Times New Roman" w:eastAsia="Arial CYR" w:cs="Times New Roman"/>
          <w:bCs/>
          <w:lang w:eastAsia="ar-SA"/>
        </w:rPr>
        <w:t>Российская Федерация, Краснодарский край, Красноармейский район, Марьянское сельское поселение, станица Марьянская, ул. Минометчиков</w:t>
      </w:r>
      <w:r>
        <w:rPr>
          <w:rFonts w:ascii="Times New Roman" w:hAnsi="Times New Roman" w:cs="Times New Roman"/>
        </w:rPr>
        <w:t xml:space="preserve">, </w:t>
      </w:r>
    </w:p>
    <w:p w14:paraId="1CBAE2E3">
      <w:pPr>
        <w:spacing w:after="0" w:line="240" w:lineRule="auto"/>
        <w:jc w:val="both"/>
        <w:rPr>
          <w:rFonts w:ascii="Times New Roman" w:hAnsi="Times New Roman" w:eastAsia="Arial CYR" w:cs="Times New Roman"/>
          <w:lang w:eastAsia="ar-SA"/>
        </w:rPr>
      </w:pPr>
      <w:r>
        <w:rPr>
          <w:rFonts w:ascii="Times New Roman" w:hAnsi="Times New Roman" w:eastAsia="Arial CYR" w:cs="Times New Roman"/>
          <w:lang w:eastAsia="ar-SA"/>
        </w:rPr>
        <w:t xml:space="preserve">Проектная общая площадь нежилого помещения  – </w:t>
      </w:r>
      <w:r>
        <w:rPr>
          <w:rFonts w:ascii="Times New Roman" w:hAnsi="Times New Roman" w:cs="Times New Roman"/>
          <w:b/>
          <w:lang w:eastAsia="ar-SA"/>
        </w:rPr>
        <w:fldChar w:fldCharType="begin"/>
      </w:r>
      <w:r>
        <w:rPr>
          <w:rFonts w:ascii="Times New Roman" w:hAnsi="Times New Roman" w:cs="Times New Roman"/>
          <w:b/>
          <w:lang w:eastAsia="ar-SA"/>
        </w:rPr>
        <w:instrText xml:space="preserve"> FORMTEXT </w:instrText>
      </w:r>
      <w:r>
        <w:rPr>
          <w:rFonts w:ascii="Times New Roman" w:hAnsi="Times New Roman" w:cs="Times New Roman"/>
          <w:b/>
          <w:lang w:eastAsia="ar-SA"/>
        </w:rPr>
        <w:fldChar w:fldCharType="separate"/>
      </w:r>
      <w:r>
        <w:rPr>
          <w:rFonts w:ascii="Times New Roman" w:hAnsi="Times New Roman" w:cs="Times New Roman"/>
          <w:b/>
          <w:lang w:eastAsia="ar-SA"/>
        </w:rPr>
        <w:t>_____</w:t>
      </w:r>
      <w:r>
        <w:rPr>
          <w:rFonts w:ascii="Times New Roman" w:hAnsi="Times New Roman" w:cs="Times New Roman"/>
          <w:b/>
          <w:lang w:eastAsia="ar-SA"/>
        </w:rPr>
        <w:fldChar w:fldCharType="end"/>
      </w:r>
      <w:r>
        <w:rPr>
          <w:rFonts w:ascii="Times New Roman" w:hAnsi="Times New Roman" w:eastAsia="Arial CYR" w:cs="Times New Roman"/>
          <w:lang w:eastAsia="ar-SA"/>
        </w:rPr>
        <w:t xml:space="preserve">кв.м. </w:t>
      </w:r>
    </w:p>
    <w:p w14:paraId="0E290352">
      <w:pPr>
        <w:pStyle w:val="184"/>
        <w:rPr>
          <w:sz w:val="22"/>
          <w:szCs w:val="22"/>
        </w:rPr>
      </w:pPr>
      <w:r>
        <w:rPr>
          <w:sz w:val="22"/>
          <w:szCs w:val="22"/>
        </w:rPr>
        <w:t>Виды работ, выполняемых Застройщиком в нежилом помещении в соответствии с проектной документацией:</w:t>
      </w:r>
    </w:p>
    <w:p w14:paraId="567111F1">
      <w:pPr>
        <w:pStyle w:val="184"/>
        <w:rPr>
          <w:sz w:val="22"/>
          <w:szCs w:val="22"/>
        </w:rPr>
      </w:pPr>
      <w:r>
        <w:rPr>
          <w:sz w:val="22"/>
          <w:szCs w:val="22"/>
        </w:rPr>
        <w:t>- монолитные несущие стены и перекрытия в нежилых помещениях отвечают требованиям СП;</w:t>
      </w:r>
    </w:p>
    <w:p w14:paraId="4ACA2A62">
      <w:pPr>
        <w:pStyle w:val="184"/>
        <w:rPr>
          <w:sz w:val="22"/>
          <w:szCs w:val="22"/>
        </w:rPr>
      </w:pPr>
      <w:r>
        <w:rPr>
          <w:sz w:val="22"/>
          <w:szCs w:val="22"/>
        </w:rPr>
        <w:t>- установка входной двери;</w:t>
      </w:r>
    </w:p>
    <w:p w14:paraId="48C8D7A7">
      <w:pPr>
        <w:pStyle w:val="184"/>
        <w:rPr>
          <w:sz w:val="22"/>
          <w:szCs w:val="22"/>
        </w:rPr>
      </w:pPr>
      <w:r>
        <w:rPr>
          <w:sz w:val="22"/>
          <w:szCs w:val="22"/>
        </w:rPr>
        <w:t>- установка оконных блоков;</w:t>
      </w:r>
    </w:p>
    <w:p w14:paraId="5C060AA4">
      <w:pPr>
        <w:pStyle w:val="184"/>
        <w:rPr>
          <w:sz w:val="22"/>
          <w:szCs w:val="22"/>
        </w:rPr>
      </w:pPr>
      <w:r>
        <w:rPr>
          <w:sz w:val="22"/>
          <w:szCs w:val="22"/>
        </w:rPr>
        <w:t>- оштукатуривание каменных и ж/б монолитных стен;</w:t>
      </w:r>
    </w:p>
    <w:p w14:paraId="6ED321C6">
      <w:pPr>
        <w:pStyle w:val="184"/>
        <w:rPr>
          <w:sz w:val="22"/>
          <w:szCs w:val="22"/>
        </w:rPr>
      </w:pPr>
      <w:r>
        <w:rPr>
          <w:sz w:val="22"/>
          <w:szCs w:val="22"/>
        </w:rPr>
        <w:t>- гидроизоляция полов санузлов;</w:t>
      </w:r>
    </w:p>
    <w:p w14:paraId="34C38DDC">
      <w:pPr>
        <w:pStyle w:val="184"/>
        <w:rPr>
          <w:sz w:val="22"/>
          <w:szCs w:val="22"/>
        </w:rPr>
      </w:pPr>
      <w:r>
        <w:rPr>
          <w:sz w:val="22"/>
          <w:szCs w:val="22"/>
        </w:rPr>
        <w:t>- устройство стяжки полов;</w:t>
      </w:r>
    </w:p>
    <w:p w14:paraId="4D25FE2C">
      <w:pPr>
        <w:pStyle w:val="184"/>
        <w:rPr>
          <w:sz w:val="22"/>
          <w:szCs w:val="22"/>
        </w:rPr>
      </w:pPr>
      <w:r>
        <w:rPr>
          <w:sz w:val="22"/>
          <w:szCs w:val="22"/>
        </w:rPr>
        <w:t>- монтаж системы отопления, без разводки по помещению;</w:t>
      </w:r>
    </w:p>
    <w:p w14:paraId="4594C23D">
      <w:pPr>
        <w:pStyle w:val="184"/>
        <w:rPr>
          <w:sz w:val="22"/>
          <w:szCs w:val="22"/>
        </w:rPr>
      </w:pPr>
      <w:r>
        <w:rPr>
          <w:sz w:val="22"/>
          <w:szCs w:val="22"/>
        </w:rPr>
        <w:t>- монтаж системы вентиляции, без установки вентиляционных решеток;</w:t>
      </w:r>
    </w:p>
    <w:p w14:paraId="76EC7958">
      <w:pPr>
        <w:pStyle w:val="184"/>
        <w:rPr>
          <w:sz w:val="22"/>
          <w:szCs w:val="22"/>
        </w:rPr>
      </w:pPr>
      <w:r>
        <w:rPr>
          <w:sz w:val="22"/>
          <w:szCs w:val="22"/>
        </w:rPr>
        <w:t>- монтаж системы водоснабжения: стояки холодного и горячего водоснабжения с врезанными патрубками, запорной арматурой и счетчиками с импульсным выходом (без внутренней разводки);</w:t>
      </w:r>
    </w:p>
    <w:p w14:paraId="68F82758">
      <w:pPr>
        <w:pStyle w:val="184"/>
        <w:rPr>
          <w:sz w:val="22"/>
          <w:szCs w:val="22"/>
        </w:rPr>
      </w:pPr>
      <w:r>
        <w:rPr>
          <w:sz w:val="22"/>
          <w:szCs w:val="22"/>
        </w:rPr>
        <w:t>- монтаж системы канализации: стояки с точкой подключения (без внутриквартирной разводки);</w:t>
      </w:r>
    </w:p>
    <w:p w14:paraId="130A36E9">
      <w:pPr>
        <w:pStyle w:val="184"/>
        <w:rPr>
          <w:sz w:val="22"/>
          <w:szCs w:val="22"/>
        </w:rPr>
      </w:pPr>
      <w:r>
        <w:rPr>
          <w:sz w:val="22"/>
          <w:szCs w:val="22"/>
        </w:rPr>
        <w:t>- монтаж системы электроснабжения: прокладка электропроводов от этажного электрощита к электрощиту нежилого помещения, установка счётчика, прокладка электропроводов внутри нежилого помещения не производится;</w:t>
      </w:r>
    </w:p>
    <w:p w14:paraId="09E93741">
      <w:pPr>
        <w:pStyle w:val="184"/>
        <w:rPr>
          <w:sz w:val="22"/>
          <w:szCs w:val="22"/>
        </w:rPr>
      </w:pPr>
      <w:r>
        <w:rPr>
          <w:sz w:val="22"/>
          <w:szCs w:val="22"/>
        </w:rPr>
        <w:t>В случае наличия на плане (Приложение № 1 к настоящему Договору) обозначений межкомнатных стен/перегородок, окон и дверей, ванн, унитазов, умывальников, раковин, электрических щитков, вентиляционных и иных шахт и прочего оборудования, их расположение будет носить условный характер и может быть изменено Застройщиком в одностороннем порядке без дополнительного уведомления Участника долевого строительства.</w:t>
      </w:r>
    </w:p>
    <w:p w14:paraId="3A3808D2">
      <w:pPr>
        <w:pStyle w:val="184"/>
        <w:ind w:firstLine="0"/>
        <w:rPr>
          <w:sz w:val="22"/>
          <w:szCs w:val="22"/>
          <w:highlight w:val="yellow"/>
        </w:rPr>
      </w:pPr>
    </w:p>
    <w:tbl>
      <w:tblPr>
        <w:tblStyle w:val="12"/>
        <w:tblW w:w="992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00"/>
        <w:gridCol w:w="5023"/>
      </w:tblGrid>
      <w:tr w14:paraId="6CBBF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trPr>
        <w:tc>
          <w:tcPr>
            <w:tcW w:w="4900" w:type="dxa"/>
            <w:tcBorders>
              <w:top w:val="single" w:color="auto" w:sz="4" w:space="0"/>
              <w:left w:val="single" w:color="auto" w:sz="4" w:space="0"/>
              <w:bottom w:val="single" w:color="auto" w:sz="4" w:space="0"/>
              <w:right w:val="single" w:color="auto" w:sz="4" w:space="0"/>
            </w:tcBorders>
          </w:tcPr>
          <w:p w14:paraId="4963AE18">
            <w:pPr>
              <w:spacing w:after="0" w:line="240" w:lineRule="auto"/>
              <w:jc w:val="both"/>
              <w:rPr>
                <w:rFonts w:ascii="Times New Roman" w:hAnsi="Times New Roman" w:cs="Times New Roman"/>
                <w:b/>
                <w:bCs/>
                <w:sz w:val="24"/>
                <w:szCs w:val="24"/>
              </w:rPr>
            </w:pPr>
            <w:r>
              <w:rPr>
                <w:rFonts w:ascii="Times New Roman" w:hAnsi="Times New Roman" w:eastAsia="Arial CYR" w:cs="Times New Roman"/>
                <w:bCs/>
                <w:sz w:val="24"/>
                <w:szCs w:val="24"/>
              </w:rPr>
              <w:t xml:space="preserve">Застройщик: </w:t>
            </w:r>
            <w:r>
              <w:rPr>
                <w:rFonts w:ascii="Times New Roman" w:hAnsi="Times New Roman" w:cs="Times New Roman"/>
                <w:b/>
                <w:bCs/>
                <w:sz w:val="24"/>
                <w:szCs w:val="24"/>
              </w:rPr>
              <w:t xml:space="preserve">Генеральный директор управляющей организации </w:t>
            </w:r>
          </w:p>
          <w:p w14:paraId="101AB1B4">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общества с ограниченной ответственностью «Лендекс управление»</w:t>
            </w:r>
          </w:p>
          <w:p w14:paraId="6B1FF7D7">
            <w:pPr>
              <w:spacing w:after="0" w:line="240" w:lineRule="auto"/>
              <w:jc w:val="both"/>
              <w:rPr>
                <w:rFonts w:ascii="Times New Roman" w:hAnsi="Times New Roman" w:eastAsia="Arial CYR" w:cs="Times New Roman"/>
                <w:bCs/>
                <w:sz w:val="24"/>
                <w:szCs w:val="24"/>
              </w:rPr>
            </w:pPr>
          </w:p>
          <w:p w14:paraId="4473EED0">
            <w:pPr>
              <w:spacing w:after="0" w:line="240" w:lineRule="auto"/>
              <w:jc w:val="both"/>
              <w:rPr>
                <w:rFonts w:ascii="Times New Roman" w:hAnsi="Times New Roman" w:eastAsia="Arial CYR" w:cs="Times New Roman"/>
                <w:bCs/>
                <w:sz w:val="24"/>
                <w:szCs w:val="24"/>
              </w:rPr>
            </w:pPr>
            <w:r>
              <w:rPr>
                <w:rFonts w:ascii="Times New Roman" w:hAnsi="Times New Roman" w:eastAsia="Arial CYR" w:cs="Times New Roman"/>
                <w:bCs/>
                <w:sz w:val="24"/>
                <w:szCs w:val="24"/>
              </w:rPr>
              <w:t>____________________/</w:t>
            </w:r>
            <w:r>
              <w:rPr>
                <w:rFonts w:ascii="Times New Roman" w:hAnsi="Times New Roman" w:eastAsia="Arial CYR" w:cs="Times New Roman"/>
                <w:bCs/>
                <w:sz w:val="24"/>
                <w:szCs w:val="24"/>
                <w:lang w:val="ru-RU"/>
              </w:rPr>
              <w:t>В</w:t>
            </w:r>
            <w:r>
              <w:rPr>
                <w:rFonts w:hint="default" w:ascii="Times New Roman" w:hAnsi="Times New Roman" w:eastAsia="Arial CYR" w:cs="Times New Roman"/>
                <w:bCs/>
                <w:sz w:val="24"/>
                <w:szCs w:val="24"/>
                <w:lang w:val="ru-RU"/>
              </w:rPr>
              <w:t>.Н. Морозова</w:t>
            </w:r>
            <w:r>
              <w:rPr>
                <w:rFonts w:ascii="Times New Roman" w:hAnsi="Times New Roman" w:eastAsia="Arial CYR" w:cs="Times New Roman"/>
                <w:bCs/>
                <w:sz w:val="24"/>
                <w:szCs w:val="24"/>
              </w:rPr>
              <w:t xml:space="preserve">/ </w:t>
            </w:r>
          </w:p>
          <w:p w14:paraId="11DA5B7C">
            <w:pPr>
              <w:spacing w:after="0" w:line="240" w:lineRule="auto"/>
              <w:ind w:firstLine="142"/>
              <w:jc w:val="both"/>
              <w:rPr>
                <w:rFonts w:ascii="Times New Roman" w:hAnsi="Times New Roman" w:eastAsia="Arial CYR" w:cs="Times New Roman"/>
                <w:bCs/>
                <w:sz w:val="24"/>
                <w:szCs w:val="24"/>
              </w:rPr>
            </w:pPr>
          </w:p>
        </w:tc>
        <w:tc>
          <w:tcPr>
            <w:tcW w:w="5023" w:type="dxa"/>
            <w:tcBorders>
              <w:top w:val="single" w:color="auto" w:sz="4" w:space="0"/>
              <w:left w:val="single" w:color="auto" w:sz="4" w:space="0"/>
              <w:bottom w:val="single" w:color="auto" w:sz="4" w:space="0"/>
              <w:right w:val="single" w:color="auto" w:sz="4" w:space="0"/>
            </w:tcBorders>
          </w:tcPr>
          <w:p w14:paraId="00F45474">
            <w:pPr>
              <w:spacing w:after="0" w:line="240" w:lineRule="auto"/>
              <w:jc w:val="both"/>
              <w:rPr>
                <w:rFonts w:ascii="Times New Roman" w:hAnsi="Times New Roman" w:eastAsia="Arial CYR" w:cs="Times New Roman"/>
                <w:bCs/>
                <w:sz w:val="24"/>
                <w:szCs w:val="24"/>
              </w:rPr>
            </w:pPr>
            <w:r>
              <w:rPr>
                <w:rFonts w:ascii="Times New Roman" w:hAnsi="Times New Roman" w:eastAsia="Arial CYR" w:cs="Times New Roman"/>
                <w:bCs/>
                <w:sz w:val="24"/>
                <w:szCs w:val="24"/>
              </w:rPr>
              <w:t>Участник долевого строительства:</w:t>
            </w:r>
          </w:p>
          <w:p w14:paraId="3858A6A8">
            <w:pPr>
              <w:spacing w:after="0" w:line="240" w:lineRule="auto"/>
              <w:jc w:val="both"/>
              <w:rPr>
                <w:rFonts w:ascii="Times New Roman" w:hAnsi="Times New Roman" w:eastAsia="Calibri"/>
                <w:b/>
                <w:sz w:val="24"/>
                <w:szCs w:val="24"/>
              </w:rPr>
            </w:pPr>
            <w:r>
              <w:rPr>
                <w:rFonts w:ascii="Times New Roman" w:hAnsi="Times New Roman" w:eastAsia="Calibri"/>
                <w:b/>
                <w:sz w:val="24"/>
                <w:szCs w:val="24"/>
              </w:rPr>
              <w:t xml:space="preserve">      </w:t>
            </w:r>
          </w:p>
          <w:p w14:paraId="3BFE3D92">
            <w:pPr>
              <w:spacing w:after="0" w:line="240" w:lineRule="auto"/>
              <w:jc w:val="both"/>
              <w:rPr>
                <w:rFonts w:ascii="Times New Roman" w:hAnsi="Times New Roman" w:eastAsia="Calibri"/>
                <w:b/>
                <w:sz w:val="24"/>
                <w:szCs w:val="24"/>
              </w:rPr>
            </w:pPr>
            <w:r>
              <w:rPr>
                <w:rFonts w:ascii="Times New Roman" w:hAnsi="Times New Roman" w:eastAsia="Calibri"/>
                <w:b/>
                <w:sz w:val="24"/>
                <w:szCs w:val="24"/>
              </w:rPr>
              <w:t xml:space="preserve">                                          </w:t>
            </w:r>
          </w:p>
          <w:p w14:paraId="238CD45F">
            <w:pPr>
              <w:spacing w:after="0" w:line="240" w:lineRule="auto"/>
              <w:jc w:val="both"/>
              <w:rPr>
                <w:rFonts w:ascii="Times New Roman" w:hAnsi="Times New Roman" w:eastAsia="Calibri"/>
                <w:b/>
                <w:sz w:val="24"/>
                <w:szCs w:val="24"/>
              </w:rPr>
            </w:pPr>
            <w:r>
              <w:rPr>
                <w:rFonts w:ascii="Times New Roman" w:hAnsi="Times New Roman" w:eastAsia="Calibri"/>
                <w:b/>
                <w:sz w:val="24"/>
                <w:szCs w:val="24"/>
              </w:rPr>
              <w:t xml:space="preserve">                                                                             ________________________________________            </w:t>
            </w:r>
            <w:bookmarkEnd w:id="38"/>
          </w:p>
        </w:tc>
      </w:tr>
    </w:tbl>
    <w:p w14:paraId="029FF62C">
      <w:pPr>
        <w:pStyle w:val="184"/>
        <w:ind w:firstLine="0"/>
      </w:pPr>
    </w:p>
    <w:p w14:paraId="180CBEDF">
      <w:pPr>
        <w:pStyle w:val="184"/>
        <w:ind w:firstLine="0"/>
      </w:pPr>
    </w:p>
    <w:p w14:paraId="3AFD72B3">
      <w:pPr>
        <w:pStyle w:val="184"/>
        <w:ind w:firstLine="0"/>
      </w:pPr>
    </w:p>
    <w:p w14:paraId="29C55580">
      <w:pPr>
        <w:pStyle w:val="184"/>
        <w:ind w:firstLine="0"/>
      </w:pPr>
    </w:p>
    <w:p w14:paraId="25A230FF">
      <w:pPr>
        <w:pStyle w:val="184"/>
        <w:ind w:firstLine="0"/>
      </w:pPr>
    </w:p>
    <w:p w14:paraId="12272227">
      <w:pPr>
        <w:pStyle w:val="184"/>
        <w:ind w:firstLine="0"/>
      </w:pPr>
    </w:p>
    <w:p w14:paraId="4AAFA082">
      <w:pPr>
        <w:pStyle w:val="184"/>
        <w:ind w:firstLine="0"/>
      </w:pPr>
    </w:p>
    <w:p w14:paraId="2D398A48">
      <w:pPr>
        <w:pStyle w:val="184"/>
        <w:ind w:firstLine="0"/>
      </w:pPr>
    </w:p>
    <w:p w14:paraId="32AA53EE">
      <w:pPr>
        <w:pStyle w:val="184"/>
        <w:ind w:firstLine="0"/>
      </w:pPr>
    </w:p>
    <w:p w14:paraId="2C2CAA03">
      <w:pPr>
        <w:pStyle w:val="184"/>
        <w:ind w:firstLine="0"/>
      </w:pPr>
    </w:p>
    <w:p w14:paraId="0F4A4513">
      <w:pPr>
        <w:pStyle w:val="184"/>
        <w:ind w:firstLine="0"/>
      </w:pPr>
    </w:p>
    <w:p w14:paraId="7C5FEC26">
      <w:pPr>
        <w:pStyle w:val="184"/>
        <w:ind w:firstLine="0"/>
      </w:pPr>
    </w:p>
    <w:p w14:paraId="0902AFCE">
      <w:pPr>
        <w:pStyle w:val="184"/>
        <w:ind w:firstLine="0"/>
      </w:pPr>
    </w:p>
    <w:p w14:paraId="13DC02A4">
      <w:pPr>
        <w:pStyle w:val="184"/>
        <w:ind w:firstLine="0"/>
      </w:pPr>
    </w:p>
    <w:p w14:paraId="0B985F14">
      <w:pPr>
        <w:pStyle w:val="184"/>
        <w:ind w:firstLine="0"/>
      </w:pPr>
    </w:p>
    <w:p w14:paraId="109A752B">
      <w:pPr>
        <w:pStyle w:val="184"/>
        <w:ind w:firstLine="0"/>
      </w:pPr>
    </w:p>
    <w:p w14:paraId="451663F3">
      <w:pPr>
        <w:pStyle w:val="184"/>
        <w:ind w:firstLine="0"/>
      </w:pPr>
    </w:p>
    <w:p w14:paraId="37BD4182">
      <w:pPr>
        <w:pStyle w:val="184"/>
        <w:jc w:val="right"/>
        <w:rPr>
          <w:sz w:val="20"/>
          <w:szCs w:val="20"/>
        </w:rPr>
      </w:pPr>
      <w:r>
        <w:rPr>
          <w:sz w:val="20"/>
          <w:szCs w:val="20"/>
        </w:rPr>
        <w:t>Приложение № 3</w:t>
      </w:r>
    </w:p>
    <w:p w14:paraId="7286DF7B">
      <w:pPr>
        <w:pStyle w:val="184"/>
        <w:jc w:val="right"/>
        <w:rPr>
          <w:sz w:val="20"/>
          <w:szCs w:val="20"/>
        </w:rPr>
      </w:pPr>
      <w:r>
        <w:rPr>
          <w:sz w:val="20"/>
          <w:szCs w:val="20"/>
        </w:rPr>
        <w:t xml:space="preserve">к договору № </w:t>
      </w:r>
      <w:r>
        <w:rPr>
          <w:rFonts w:hint="default"/>
          <w:sz w:val="20"/>
          <w:szCs w:val="20"/>
          <w:lang w:val="ru-RU"/>
        </w:rPr>
        <w:t>_____</w:t>
      </w:r>
      <w:r>
        <w:rPr>
          <w:sz w:val="20"/>
          <w:szCs w:val="20"/>
        </w:rPr>
        <w:t xml:space="preserve"> </w:t>
      </w:r>
    </w:p>
    <w:p w14:paraId="3B3867EC">
      <w:pPr>
        <w:pStyle w:val="184"/>
        <w:jc w:val="right"/>
        <w:rPr>
          <w:sz w:val="20"/>
          <w:szCs w:val="20"/>
        </w:rPr>
      </w:pPr>
      <w:r>
        <w:rPr>
          <w:sz w:val="20"/>
          <w:szCs w:val="20"/>
        </w:rPr>
        <w:t xml:space="preserve">об участии в долевом строительстве </w:t>
      </w:r>
    </w:p>
    <w:p w14:paraId="7DF7947C">
      <w:pPr>
        <w:pStyle w:val="184"/>
        <w:jc w:val="right"/>
        <w:rPr>
          <w:sz w:val="20"/>
          <w:szCs w:val="20"/>
        </w:rPr>
      </w:pPr>
      <w:r>
        <w:rPr>
          <w:sz w:val="20"/>
          <w:szCs w:val="20"/>
        </w:rPr>
        <w:t xml:space="preserve">многоквартирного дома </w:t>
      </w:r>
    </w:p>
    <w:p w14:paraId="1E084B64">
      <w:pPr>
        <w:pStyle w:val="184"/>
        <w:jc w:val="right"/>
        <w:rPr>
          <w:sz w:val="20"/>
          <w:szCs w:val="20"/>
        </w:rPr>
      </w:pPr>
      <w:r>
        <w:rPr>
          <w:sz w:val="20"/>
          <w:szCs w:val="20"/>
        </w:rPr>
        <w:t>от «</w:t>
      </w:r>
      <w:r>
        <w:rPr>
          <w:rFonts w:hint="default"/>
          <w:sz w:val="20"/>
          <w:szCs w:val="20"/>
          <w:lang w:val="ru-RU"/>
        </w:rPr>
        <w:t>__</w:t>
      </w:r>
      <w:r>
        <w:rPr>
          <w:sz w:val="20"/>
          <w:szCs w:val="20"/>
        </w:rPr>
        <w:t xml:space="preserve">» </w:t>
      </w:r>
      <w:r>
        <w:rPr>
          <w:rFonts w:hint="default"/>
          <w:sz w:val="20"/>
          <w:szCs w:val="20"/>
          <w:lang w:val="ru-RU"/>
        </w:rPr>
        <w:t>________</w:t>
      </w:r>
      <w:r>
        <w:rPr>
          <w:sz w:val="20"/>
          <w:szCs w:val="20"/>
        </w:rPr>
        <w:t xml:space="preserve"> 2025 г.</w:t>
      </w:r>
    </w:p>
    <w:p w14:paraId="3F40F5FF">
      <w:pPr>
        <w:pStyle w:val="184"/>
        <w:rPr>
          <w:sz w:val="20"/>
          <w:szCs w:val="20"/>
        </w:rPr>
      </w:pPr>
    </w:p>
    <w:p w14:paraId="3A2A1A18">
      <w:pPr>
        <w:pStyle w:val="184"/>
        <w:jc w:val="center"/>
        <w:rPr>
          <w:b/>
          <w:bCs w:val="0"/>
          <w:sz w:val="20"/>
          <w:szCs w:val="20"/>
        </w:rPr>
      </w:pPr>
      <w:r>
        <w:rPr>
          <w:b/>
          <w:bCs w:val="0"/>
          <w:sz w:val="20"/>
          <w:szCs w:val="20"/>
        </w:rPr>
        <w:t>Согласие на обработку персональных данных</w:t>
      </w:r>
    </w:p>
    <w:p w14:paraId="7C37D81E">
      <w:pPr>
        <w:pStyle w:val="184"/>
        <w:rPr>
          <w:sz w:val="20"/>
          <w:szCs w:val="20"/>
        </w:rPr>
      </w:pPr>
      <w:r>
        <w:rPr>
          <w:sz w:val="20"/>
          <w:szCs w:val="20"/>
          <w:lang w:val="ru-RU"/>
        </w:rPr>
        <w:t>Я</w:t>
      </w:r>
      <w:r>
        <w:rPr>
          <w:sz w:val="20"/>
          <w:szCs w:val="20"/>
        </w:rPr>
        <w:t xml:space="preserve">, </w:t>
      </w:r>
      <w:r>
        <w:rPr>
          <w:rFonts w:hint="default"/>
          <w:b/>
          <w:bCs w:val="0"/>
          <w:sz w:val="20"/>
          <w:szCs w:val="20"/>
          <w:lang w:val="ru-RU"/>
        </w:rPr>
        <w:t>___________________________________________________________________________________________</w:t>
      </w:r>
      <w:bookmarkStart w:id="39" w:name="_GoBack"/>
      <w:bookmarkEnd w:id="39"/>
      <w:r>
        <w:rPr>
          <w:sz w:val="20"/>
          <w:szCs w:val="20"/>
        </w:rPr>
        <w:t>действу</w:t>
      </w:r>
      <w:r>
        <w:rPr>
          <w:sz w:val="20"/>
          <w:szCs w:val="20"/>
          <w:lang w:val="ru-RU"/>
        </w:rPr>
        <w:t>ющие</w:t>
      </w:r>
      <w:r>
        <w:rPr>
          <w:sz w:val="20"/>
          <w:szCs w:val="20"/>
        </w:rPr>
        <w:t xml:space="preserve"> свободно, своей волей и в своем интересе, да</w:t>
      </w:r>
      <w:r>
        <w:rPr>
          <w:sz w:val="20"/>
          <w:szCs w:val="20"/>
          <w:lang w:val="ru-RU"/>
        </w:rPr>
        <w:t>ем</w:t>
      </w:r>
      <w:r>
        <w:rPr>
          <w:sz w:val="20"/>
          <w:szCs w:val="20"/>
        </w:rPr>
        <w:t xml:space="preserve"> </w:t>
      </w:r>
      <w:r>
        <w:rPr>
          <w:rFonts w:ascii="Times New Roman" w:hAnsi="Times New Roman" w:cs="Times New Roman"/>
          <w:b/>
          <w:bCs/>
          <w:sz w:val="20"/>
          <w:szCs w:val="20"/>
        </w:rPr>
        <w:t>Обществ</w:t>
      </w:r>
      <w:r>
        <w:rPr>
          <w:rFonts w:cs="Times New Roman"/>
          <w:b/>
          <w:bCs/>
          <w:sz w:val="20"/>
          <w:szCs w:val="20"/>
          <w:lang w:val="ru-RU"/>
        </w:rPr>
        <w:t>у</w:t>
      </w:r>
      <w:r>
        <w:rPr>
          <w:rFonts w:ascii="Times New Roman" w:hAnsi="Times New Roman" w:cs="Times New Roman"/>
          <w:b/>
          <w:bCs/>
          <w:sz w:val="20"/>
          <w:szCs w:val="20"/>
        </w:rPr>
        <w:t xml:space="preserve"> с ограниченной ответственностью Специализированный застройщик «Марьянский парк»</w:t>
      </w:r>
      <w:r>
        <w:rPr>
          <w:rFonts w:ascii="Times New Roman" w:hAnsi="Times New Roman" w:cs="Times New Roman"/>
          <w:sz w:val="20"/>
          <w:szCs w:val="20"/>
        </w:rPr>
        <w:t xml:space="preserve">, в лице </w:t>
      </w:r>
      <w:r>
        <w:rPr>
          <w:rFonts w:ascii="Times New Roman" w:hAnsi="Times New Roman" w:cs="Times New Roman"/>
          <w:b/>
          <w:bCs/>
          <w:sz w:val="20"/>
          <w:szCs w:val="20"/>
        </w:rPr>
        <w:t xml:space="preserve">генерального директора управляющей организации общества с ограниченной ответственностью «Лендекс управление» </w:t>
      </w:r>
      <w:r>
        <w:rPr>
          <w:rFonts w:ascii="Times New Roman" w:hAnsi="Times New Roman" w:cs="Times New Roman"/>
          <w:b/>
          <w:bCs/>
          <w:sz w:val="20"/>
          <w:szCs w:val="20"/>
          <w:lang w:val="ru-RU"/>
        </w:rPr>
        <w:t>Морозовой</w:t>
      </w:r>
      <w:r>
        <w:rPr>
          <w:rFonts w:hint="default" w:ascii="Times New Roman" w:hAnsi="Times New Roman" w:cs="Times New Roman"/>
          <w:b/>
          <w:bCs/>
          <w:sz w:val="20"/>
          <w:szCs w:val="20"/>
          <w:lang w:val="ru-RU"/>
        </w:rPr>
        <w:t xml:space="preserve"> Виктории Николаевны</w:t>
      </w:r>
      <w:r>
        <w:rPr>
          <w:rFonts w:ascii="Times New Roman" w:hAnsi="Times New Roman" w:cs="Times New Roman"/>
          <w:sz w:val="20"/>
          <w:szCs w:val="20"/>
        </w:rPr>
        <w:t xml:space="preserve">, действующего на основании Договора о передаче полномочий единоличного исполнительного органа управляющей организации от 28.01.2025 г., Свидетельства от </w:t>
      </w:r>
      <w:r>
        <w:rPr>
          <w:rFonts w:hint="default" w:ascii="Times New Roman" w:hAnsi="Times New Roman" w:cs="Times New Roman"/>
          <w:sz w:val="20"/>
          <w:szCs w:val="20"/>
          <w:lang w:val="en-US"/>
        </w:rPr>
        <w:t>13</w:t>
      </w:r>
      <w:r>
        <w:rPr>
          <w:rFonts w:hint="default" w:ascii="Times New Roman" w:hAnsi="Times New Roman" w:cs="Times New Roman"/>
          <w:sz w:val="20"/>
          <w:szCs w:val="20"/>
          <w:lang w:val="ru-RU"/>
        </w:rPr>
        <w:t>.11</w:t>
      </w:r>
      <w:r>
        <w:rPr>
          <w:rFonts w:ascii="Times New Roman" w:hAnsi="Times New Roman" w:cs="Times New Roman"/>
          <w:sz w:val="20"/>
          <w:szCs w:val="20"/>
        </w:rPr>
        <w:t>.2025 г. об удостоверении Решения единственного участника № 0</w:t>
      </w:r>
      <w:r>
        <w:rPr>
          <w:rFonts w:hint="default" w:ascii="Times New Roman" w:hAnsi="Times New Roman" w:cs="Times New Roman"/>
          <w:sz w:val="20"/>
          <w:szCs w:val="20"/>
          <w:lang w:val="ru-RU"/>
        </w:rPr>
        <w:t>6</w:t>
      </w:r>
      <w:r>
        <w:rPr>
          <w:rFonts w:ascii="Times New Roman" w:hAnsi="Times New Roman" w:cs="Times New Roman"/>
          <w:sz w:val="20"/>
          <w:szCs w:val="20"/>
        </w:rPr>
        <w:t xml:space="preserve">/2025 общества с ограниченной ответственностью Специализированный застройщик «Марьянский парк» от </w:t>
      </w:r>
      <w:r>
        <w:rPr>
          <w:rFonts w:hint="default" w:ascii="Times New Roman" w:hAnsi="Times New Roman" w:cs="Times New Roman"/>
          <w:sz w:val="20"/>
          <w:szCs w:val="20"/>
          <w:lang w:val="ru-RU"/>
        </w:rPr>
        <w:t>13.11</w:t>
      </w:r>
      <w:r>
        <w:rPr>
          <w:rFonts w:ascii="Times New Roman" w:hAnsi="Times New Roman" w:cs="Times New Roman"/>
          <w:sz w:val="20"/>
          <w:szCs w:val="20"/>
        </w:rPr>
        <w:t>.2025 г., зарегистрированного в реестре № 23/256-н/23-2025-</w:t>
      </w:r>
      <w:r>
        <w:rPr>
          <w:rFonts w:hint="default" w:ascii="Times New Roman" w:hAnsi="Times New Roman" w:cs="Times New Roman"/>
          <w:sz w:val="20"/>
          <w:szCs w:val="20"/>
          <w:lang w:val="ru-RU"/>
        </w:rPr>
        <w:t>16-547 и Устава</w:t>
      </w:r>
      <w:r>
        <w:rPr>
          <w:sz w:val="20"/>
          <w:szCs w:val="20"/>
        </w:rPr>
        <w:t>, настоящее Согласие на обработку персональных данных (далее – Согласие) с целью</w:t>
      </w:r>
    </w:p>
    <w:p w14:paraId="5F4FCBA3">
      <w:pPr>
        <w:spacing w:after="0" w:line="240" w:lineRule="auto"/>
        <w:ind w:firstLine="708"/>
        <w:rPr>
          <w:rFonts w:ascii="Times New Roman" w:hAnsi="Times New Roman" w:cs="Times New Roman"/>
          <w:b/>
          <w:bCs/>
          <w:i/>
          <w:iCs/>
          <w:sz w:val="19"/>
          <w:szCs w:val="19"/>
          <w:u w:val="single"/>
        </w:rPr>
      </w:pPr>
      <w:r>
        <w:rPr>
          <w:rFonts w:ascii="Times New Roman" w:hAnsi="Times New Roman" w:cs="Times New Roman"/>
          <w:b/>
          <w:bCs/>
          <w:i/>
          <w:iCs/>
          <w:sz w:val="19"/>
          <w:szCs w:val="19"/>
          <w:u w:val="single"/>
        </w:rPr>
        <w:t>- заключения договоров участия в долевом строительстве;</w:t>
      </w:r>
    </w:p>
    <w:p w14:paraId="13440E4D">
      <w:pPr>
        <w:spacing w:after="0" w:line="240" w:lineRule="auto"/>
        <w:ind w:firstLine="708"/>
        <w:rPr>
          <w:rFonts w:ascii="Times New Roman" w:hAnsi="Times New Roman" w:cs="Times New Roman"/>
          <w:b/>
          <w:bCs/>
          <w:i/>
          <w:iCs/>
          <w:sz w:val="19"/>
          <w:szCs w:val="19"/>
          <w:u w:val="single"/>
        </w:rPr>
      </w:pPr>
      <w:r>
        <w:rPr>
          <w:rFonts w:ascii="Times New Roman" w:hAnsi="Times New Roman" w:cs="Times New Roman"/>
          <w:b/>
          <w:bCs/>
          <w:i/>
          <w:iCs/>
          <w:sz w:val="19"/>
          <w:szCs w:val="19"/>
          <w:u w:val="single"/>
        </w:rPr>
        <w:t>- заключения дополнительных соглашений к договорам участия в долевом строительстве;</w:t>
      </w:r>
    </w:p>
    <w:p w14:paraId="34E54A88">
      <w:pPr>
        <w:spacing w:after="0" w:line="240" w:lineRule="auto"/>
        <w:ind w:firstLine="708"/>
        <w:rPr>
          <w:rFonts w:ascii="Times New Roman" w:hAnsi="Times New Roman" w:cs="Times New Roman"/>
          <w:b/>
          <w:bCs/>
          <w:i/>
          <w:iCs/>
          <w:sz w:val="19"/>
          <w:szCs w:val="19"/>
          <w:u w:val="single"/>
        </w:rPr>
      </w:pPr>
      <w:r>
        <w:rPr>
          <w:rFonts w:ascii="Times New Roman" w:hAnsi="Times New Roman" w:cs="Times New Roman"/>
          <w:b/>
          <w:bCs/>
          <w:i/>
          <w:iCs/>
          <w:sz w:val="19"/>
          <w:szCs w:val="19"/>
          <w:u w:val="single"/>
        </w:rPr>
        <w:t>- заключения договоров уступки права требования к договорам участия в долевом строительстве;</w:t>
      </w:r>
    </w:p>
    <w:p w14:paraId="5B6923D6">
      <w:pPr>
        <w:spacing w:after="0" w:line="240" w:lineRule="auto"/>
        <w:ind w:firstLine="708"/>
        <w:rPr>
          <w:rFonts w:ascii="Times New Roman" w:hAnsi="Times New Roman" w:cs="Times New Roman"/>
          <w:b/>
          <w:bCs/>
          <w:i/>
          <w:iCs/>
          <w:sz w:val="19"/>
          <w:szCs w:val="19"/>
          <w:u w:val="single"/>
        </w:rPr>
      </w:pPr>
      <w:r>
        <w:rPr>
          <w:rFonts w:ascii="Times New Roman" w:hAnsi="Times New Roman" w:cs="Times New Roman"/>
          <w:b/>
          <w:bCs/>
          <w:i/>
          <w:iCs/>
          <w:sz w:val="19"/>
          <w:szCs w:val="19"/>
          <w:u w:val="single"/>
        </w:rPr>
        <w:t>- заключать первичные акты приема-передачи объекты недвижимости;</w:t>
      </w:r>
    </w:p>
    <w:p w14:paraId="6B90C02D">
      <w:pPr>
        <w:spacing w:after="0" w:line="240" w:lineRule="auto"/>
        <w:ind w:firstLine="708"/>
        <w:rPr>
          <w:rFonts w:ascii="Times New Roman" w:hAnsi="Times New Roman" w:cs="Times New Roman"/>
          <w:b/>
          <w:bCs/>
          <w:i/>
          <w:iCs/>
          <w:sz w:val="19"/>
          <w:szCs w:val="19"/>
          <w:u w:val="single"/>
        </w:rPr>
      </w:pPr>
      <w:r>
        <w:rPr>
          <w:rFonts w:ascii="Times New Roman" w:hAnsi="Times New Roman" w:cs="Times New Roman"/>
          <w:b/>
          <w:bCs/>
          <w:i/>
          <w:iCs/>
          <w:sz w:val="19"/>
          <w:szCs w:val="19"/>
          <w:u w:val="single"/>
        </w:rPr>
        <w:t>-выпуск УКЭП (ЭЦП)</w:t>
      </w:r>
    </w:p>
    <w:p w14:paraId="2B296CB8">
      <w:pPr>
        <w:spacing w:after="0" w:line="240" w:lineRule="auto"/>
        <w:ind w:firstLine="708"/>
        <w:rPr>
          <w:rFonts w:ascii="Times New Roman" w:hAnsi="Times New Roman" w:cs="Times New Roman"/>
          <w:b/>
          <w:bCs/>
          <w:i/>
          <w:iCs/>
          <w:sz w:val="19"/>
          <w:szCs w:val="19"/>
          <w:u w:val="single"/>
        </w:rPr>
      </w:pPr>
      <w:r>
        <w:rPr>
          <w:rFonts w:ascii="Times New Roman" w:hAnsi="Times New Roman" w:cs="Times New Roman"/>
          <w:b/>
          <w:bCs/>
          <w:i/>
          <w:iCs/>
          <w:sz w:val="19"/>
          <w:szCs w:val="19"/>
          <w:u w:val="single"/>
        </w:rPr>
        <w:t>- заключение и подписание заявлений, протоколов, уведомлений;</w:t>
      </w:r>
    </w:p>
    <w:p w14:paraId="6F3C97BF">
      <w:pPr>
        <w:spacing w:after="0" w:line="240" w:lineRule="auto"/>
        <w:ind w:firstLine="709"/>
        <w:jc w:val="both"/>
        <w:rPr>
          <w:rFonts w:ascii="Times New Roman" w:hAnsi="Times New Roman"/>
          <w:b/>
          <w:bCs/>
          <w:i/>
          <w:iCs/>
          <w:sz w:val="19"/>
          <w:szCs w:val="19"/>
          <w:u w:val="single"/>
        </w:rPr>
      </w:pPr>
      <w:r>
        <w:rPr>
          <w:rFonts w:ascii="Times New Roman" w:hAnsi="Times New Roman" w:cs="Times New Roman"/>
          <w:b/>
          <w:bCs/>
          <w:i/>
          <w:iCs/>
          <w:sz w:val="19"/>
          <w:szCs w:val="19"/>
          <w:u w:val="single"/>
        </w:rPr>
        <w:t xml:space="preserve">- заключения и открытия </w:t>
      </w:r>
      <w:r>
        <w:rPr>
          <w:rFonts w:ascii="Times New Roman" w:hAnsi="Times New Roman" w:eastAsia="Times New Roman"/>
          <w:b/>
          <w:bCs/>
          <w:i/>
          <w:iCs/>
          <w:sz w:val="19"/>
          <w:szCs w:val="19"/>
          <w:u w:val="single"/>
        </w:rPr>
        <w:t xml:space="preserve">Индивидуальных условий договора счета эскроу </w:t>
      </w:r>
      <w:r>
        <w:rPr>
          <w:rFonts w:ascii="Times New Roman" w:hAnsi="Times New Roman"/>
          <w:b/>
          <w:bCs/>
          <w:i/>
          <w:iCs/>
          <w:sz w:val="19"/>
          <w:szCs w:val="19"/>
          <w:u w:val="single"/>
        </w:rPr>
        <w:t>для расчетов по договору участия в долевом строительстве</w:t>
      </w:r>
    </w:p>
    <w:p w14:paraId="0296707A">
      <w:pPr>
        <w:spacing w:after="0" w:line="240" w:lineRule="auto"/>
        <w:ind w:firstLine="709"/>
        <w:jc w:val="both"/>
        <w:rPr>
          <w:rFonts w:ascii="Times New Roman" w:hAnsi="Times New Roman" w:eastAsia="Times New Roman"/>
          <w:b/>
          <w:bCs/>
          <w:i/>
          <w:iCs/>
          <w:sz w:val="19"/>
          <w:szCs w:val="19"/>
          <w:u w:val="single"/>
        </w:rPr>
      </w:pPr>
      <w:r>
        <w:rPr>
          <w:rFonts w:ascii="Times New Roman" w:hAnsi="Times New Roman"/>
          <w:b/>
          <w:bCs/>
          <w:i/>
          <w:iCs/>
          <w:sz w:val="19"/>
          <w:szCs w:val="19"/>
          <w:u w:val="single"/>
        </w:rPr>
        <w:t>- подписания кредитных договоров и т.д.</w:t>
      </w:r>
    </w:p>
    <w:p w14:paraId="6065B5FC">
      <w:pPr>
        <w:spacing w:after="0" w:line="240" w:lineRule="auto"/>
        <w:ind w:firstLine="709"/>
        <w:jc w:val="both"/>
        <w:rPr>
          <w:rFonts w:ascii="Times New Roman" w:hAnsi="Times New Roman" w:cs="Times New Roman"/>
          <w:i/>
          <w:color w:val="000000"/>
          <w:sz w:val="19"/>
          <w:szCs w:val="19"/>
          <w:shd w:val="clear" w:color="auto" w:fill="FFFF00"/>
        </w:rPr>
      </w:pPr>
      <w:r>
        <w:rPr>
          <w:rFonts w:ascii="Times New Roman" w:hAnsi="Times New Roman" w:cs="Times New Roman"/>
          <w:color w:val="000000"/>
          <w:sz w:val="19"/>
          <w:szCs w:val="19"/>
        </w:rPr>
        <w:t>Оператор вправе осуществлять сбор, получение от третьих лиц, запись, систематизацию, накопление, хранение, уточнение (обновление, изменение), извлечение, использование, передачу (доступ, предоставление), блокирование, удаление, уничтожение с использованием средств автоматизации и без использования средств автоматизации моих нижеуказанных персональных данных:</w:t>
      </w:r>
    </w:p>
    <w:p w14:paraId="39037132">
      <w:pPr>
        <w:tabs>
          <w:tab w:val="left" w:pos="1470"/>
        </w:tabs>
        <w:spacing w:after="0" w:line="240" w:lineRule="auto"/>
        <w:ind w:firstLine="709"/>
        <w:jc w:val="both"/>
        <w:rPr>
          <w:rFonts w:ascii="Times New Roman" w:hAnsi="Times New Roman" w:cs="Times New Roman"/>
          <w:iCs/>
          <w:color w:val="000000"/>
          <w:sz w:val="19"/>
          <w:szCs w:val="19"/>
        </w:rPr>
      </w:pPr>
      <w:r>
        <w:rPr>
          <w:rFonts w:ascii="Times New Roman" w:hAnsi="Times New Roman" w:cs="Times New Roman"/>
          <w:iCs/>
          <w:color w:val="000000"/>
          <w:sz w:val="19"/>
          <w:szCs w:val="19"/>
        </w:rPr>
        <mc:AlternateContent>
          <mc:Choice Requires="wps">
            <w:drawing>
              <wp:anchor distT="0" distB="0" distL="114300" distR="114300" simplePos="0" relativeHeight="251659264" behindDoc="0" locked="0" layoutInCell="1" allowOverlap="1">
                <wp:simplePos x="0" y="0"/>
                <wp:positionH relativeFrom="column">
                  <wp:posOffset>443865</wp:posOffset>
                </wp:positionH>
                <wp:positionV relativeFrom="paragraph">
                  <wp:posOffset>2540</wp:posOffset>
                </wp:positionV>
                <wp:extent cx="152400" cy="161925"/>
                <wp:effectExtent l="4445" t="4445" r="10795" b="16510"/>
                <wp:wrapNone/>
                <wp:docPr id="4" name="Надпись 4"/>
                <wp:cNvGraphicFramePr/>
                <a:graphic xmlns:a="http://schemas.openxmlformats.org/drawingml/2006/main">
                  <a:graphicData uri="http://schemas.microsoft.com/office/word/2010/wordprocessingShape">
                    <wps:wsp>
                      <wps:cNvSpPr txBox="1">
                        <a:spLocks noChangeArrowheads="1"/>
                      </wps:cNvSpPr>
                      <wps:spPr bwMode="auto">
                        <a:xfrm>
                          <a:off x="0" y="0"/>
                          <a:ext cx="152400" cy="161925"/>
                        </a:xfrm>
                        <a:prstGeom prst="rect">
                          <a:avLst/>
                        </a:prstGeom>
                        <a:solidFill>
                          <a:srgbClr val="FFFFFF"/>
                        </a:solidFill>
                        <a:ln w="9525">
                          <a:solidFill>
                            <a:srgbClr val="000000"/>
                          </a:solidFill>
                          <a:miter lim="800000"/>
                        </a:ln>
                      </wps:spPr>
                      <wps:txbx>
                        <w:txbxContent>
                          <w:p w14:paraId="175F0691"/>
                        </w:txbxContent>
                      </wps:txbx>
                      <wps:bodyPr rot="0" vert="horz" wrap="square" lIns="91440" tIns="45720" rIns="91440" bIns="45720" anchor="t" anchorCtr="0" upright="1">
                        <a:noAutofit/>
                      </wps:bodyPr>
                    </wps:wsp>
                  </a:graphicData>
                </a:graphic>
              </wp:anchor>
            </w:drawing>
          </mc:Choice>
          <mc:Fallback>
            <w:pict>
              <v:shape id="Надпись 4" o:spid="_x0000_s1026" o:spt="202" type="#_x0000_t202" style="position:absolute;left:0pt;margin-left:34.95pt;margin-top:0.2pt;height:12.75pt;width:12pt;z-index:251659264;mso-width-relative:page;mso-height-relative:page;" fillcolor="#FFFFFF" filled="t" stroked="t" coordsize="21600,21600" o:gfxdata="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JQ82//VAAAABQEAAA8AAAAAAAAAAQAgAAAAIgAA&#10;AGRycy9kb3ducmV2LnhtbFBLAQIUABQAAAAIAIdO4kC70tMpRAIAAIsEAAAOAAAAAAAAAAEAIAAA&#10;ACQBAABkcnMvZTJvRG9jLnhtbFBLBQYAAAAABgAGAFkBAADaBQAAAAA=&#10;">
                <v:fill on="t" focussize="0,0"/>
                <v:stroke color="#000000" miterlimit="8" joinstyle="miter"/>
                <v:imagedata o:title=""/>
                <o:lock v:ext="edit" aspectratio="f"/>
                <v:textbox>
                  <w:txbxContent>
                    <w:p w14:paraId="175F0691"/>
                  </w:txbxContent>
                </v:textbox>
              </v:shape>
            </w:pict>
          </mc:Fallback>
        </mc:AlternateContent>
      </w:r>
      <w:r>
        <w:rPr>
          <w:rFonts w:ascii="Times New Roman" w:hAnsi="Times New Roman" w:cs="Times New Roman"/>
          <w:iCs/>
          <w:color w:val="000000"/>
          <w:sz w:val="19"/>
          <w:szCs w:val="19"/>
        </w:rPr>
        <w:t xml:space="preserve">           Паспортные данные;</w:t>
      </w:r>
    </w:p>
    <w:p w14:paraId="541A642E">
      <w:pPr>
        <w:tabs>
          <w:tab w:val="left" w:pos="1470"/>
        </w:tabs>
        <w:spacing w:after="0" w:line="240" w:lineRule="auto"/>
        <w:jc w:val="both"/>
        <w:rPr>
          <w:rFonts w:ascii="Times New Roman" w:hAnsi="Times New Roman" w:cs="Times New Roman"/>
          <w:iCs/>
          <w:color w:val="000000"/>
          <w:sz w:val="19"/>
          <w:szCs w:val="19"/>
        </w:rPr>
      </w:pPr>
      <w:r>
        <w:rPr>
          <w:rFonts w:ascii="Times New Roman" w:hAnsi="Times New Roman" w:cs="Times New Roman"/>
          <w:iCs/>
          <w:color w:val="000000"/>
          <w:sz w:val="19"/>
          <w:szCs w:val="19"/>
        </w:rPr>
        <mc:AlternateContent>
          <mc:Choice Requires="wps">
            <w:drawing>
              <wp:anchor distT="0" distB="0" distL="114300" distR="114300" simplePos="0" relativeHeight="251660288" behindDoc="0" locked="0" layoutInCell="1" allowOverlap="1">
                <wp:simplePos x="0" y="0"/>
                <wp:positionH relativeFrom="column">
                  <wp:posOffset>443865</wp:posOffset>
                </wp:positionH>
                <wp:positionV relativeFrom="paragraph">
                  <wp:posOffset>80010</wp:posOffset>
                </wp:positionV>
                <wp:extent cx="152400" cy="161925"/>
                <wp:effectExtent l="4445" t="4445" r="10795" b="16510"/>
                <wp:wrapNone/>
                <wp:docPr id="3" name="Надпись 3"/>
                <wp:cNvGraphicFramePr/>
                <a:graphic xmlns:a="http://schemas.openxmlformats.org/drawingml/2006/main">
                  <a:graphicData uri="http://schemas.microsoft.com/office/word/2010/wordprocessingShape">
                    <wps:wsp>
                      <wps:cNvSpPr txBox="1">
                        <a:spLocks noChangeArrowheads="1"/>
                      </wps:cNvSpPr>
                      <wps:spPr bwMode="auto">
                        <a:xfrm>
                          <a:off x="0" y="0"/>
                          <a:ext cx="152400" cy="161925"/>
                        </a:xfrm>
                        <a:prstGeom prst="rect">
                          <a:avLst/>
                        </a:prstGeom>
                        <a:solidFill>
                          <a:srgbClr val="FFFFFF"/>
                        </a:solidFill>
                        <a:ln w="9525">
                          <a:solidFill>
                            <a:srgbClr val="000000"/>
                          </a:solidFill>
                          <a:miter lim="800000"/>
                        </a:ln>
                      </wps:spPr>
                      <wps:txbx>
                        <w:txbxContent>
                          <w:p w14:paraId="0F904338"/>
                        </w:txbxContent>
                      </wps:txbx>
                      <wps:bodyPr rot="0" vert="horz" wrap="square" lIns="91440" tIns="45720" rIns="91440" bIns="45720" anchor="t" anchorCtr="0" upright="1">
                        <a:noAutofit/>
                      </wps:bodyPr>
                    </wps:wsp>
                  </a:graphicData>
                </a:graphic>
              </wp:anchor>
            </w:drawing>
          </mc:Choice>
          <mc:Fallback>
            <w:pict>
              <v:shape id="Надпись 3" o:spid="_x0000_s1026" o:spt="202" type="#_x0000_t202" style="position:absolute;left:0pt;margin-left:34.95pt;margin-top:6.3pt;height:12.75pt;width:12pt;z-index:251660288;mso-width-relative:page;mso-height-relative:page;" fillcolor="#FFFFFF" filled="t" stroked="t" coordsize="21600,21600" o:gfxdata="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DUbZI1QAAAAcBAAAPAAAAAAAAAAEAIAAAACIA&#10;AABkcnMvZG93bnJldi54bWxQSwECFAAUAAAACACHTuJAw+DKrUUCAACLBAAADgAAAAAAAAABACAA&#10;AAAkAQAAZHJzL2Uyb0RvYy54bWxQSwUGAAAAAAYABgBZAQAA2wUAAAAA&#10;">
                <v:fill on="t" focussize="0,0"/>
                <v:stroke color="#000000" miterlimit="8" joinstyle="miter"/>
                <v:imagedata o:title=""/>
                <o:lock v:ext="edit" aspectratio="f"/>
                <v:textbox>
                  <w:txbxContent>
                    <w:p w14:paraId="0F904338"/>
                  </w:txbxContent>
                </v:textbox>
              </v:shape>
            </w:pict>
          </mc:Fallback>
        </mc:AlternateContent>
      </w:r>
      <w:r>
        <w:rPr>
          <w:rFonts w:ascii="Times New Roman" w:hAnsi="Times New Roman" w:cs="Times New Roman"/>
          <w:iCs/>
          <w:color w:val="000000"/>
          <w:sz w:val="19"/>
          <w:szCs w:val="19"/>
        </w:rPr>
        <w:tab/>
      </w:r>
    </w:p>
    <w:p w14:paraId="13820A76">
      <w:pPr>
        <w:tabs>
          <w:tab w:val="left" w:pos="1470"/>
        </w:tabs>
        <w:spacing w:after="0" w:line="240" w:lineRule="auto"/>
        <w:ind w:firstLine="709"/>
        <w:jc w:val="both"/>
        <w:rPr>
          <w:rFonts w:ascii="Times New Roman" w:hAnsi="Times New Roman" w:cs="Times New Roman"/>
          <w:iCs/>
          <w:color w:val="000000"/>
          <w:sz w:val="19"/>
          <w:szCs w:val="19"/>
        </w:rPr>
      </w:pPr>
      <w:r>
        <w:rPr>
          <w:rFonts w:ascii="Times New Roman" w:hAnsi="Times New Roman" w:cs="Times New Roman"/>
          <w:iCs/>
          <w:color w:val="000000"/>
          <w:sz w:val="19"/>
          <w:szCs w:val="19"/>
        </w:rPr>
        <w:t xml:space="preserve">           Адрес электронной почты;</w:t>
      </w:r>
      <w:r>
        <w:rPr>
          <w:rFonts w:ascii="Times New Roman" w:hAnsi="Times New Roman" w:cs="Times New Roman"/>
          <w:iCs/>
          <w:color w:val="000000"/>
          <w:sz w:val="19"/>
          <w:szCs w:val="19"/>
        </w:rPr>
        <w:tab/>
      </w:r>
    </w:p>
    <w:p w14:paraId="7ED80ADC">
      <w:pPr>
        <w:tabs>
          <w:tab w:val="left" w:pos="1470"/>
        </w:tabs>
        <w:spacing w:after="0" w:line="240" w:lineRule="auto"/>
        <w:ind w:firstLine="709"/>
        <w:jc w:val="both"/>
        <w:rPr>
          <w:rFonts w:ascii="Times New Roman" w:hAnsi="Times New Roman" w:cs="Times New Roman"/>
          <w:iCs/>
          <w:color w:val="000000"/>
          <w:sz w:val="19"/>
          <w:szCs w:val="19"/>
        </w:rPr>
      </w:pPr>
      <w:r>
        <w:rPr>
          <w:rFonts w:ascii="Times New Roman" w:hAnsi="Times New Roman" w:cs="Times New Roman"/>
          <w:iCs/>
          <w:color w:val="000000"/>
          <w:sz w:val="19"/>
          <w:szCs w:val="19"/>
        </w:rPr>
        <mc:AlternateContent>
          <mc:Choice Requires="wps">
            <w:drawing>
              <wp:anchor distT="0" distB="0" distL="114300" distR="114300" simplePos="0" relativeHeight="251661312" behindDoc="0" locked="0" layoutInCell="1" allowOverlap="1">
                <wp:simplePos x="0" y="0"/>
                <wp:positionH relativeFrom="column">
                  <wp:posOffset>443865</wp:posOffset>
                </wp:positionH>
                <wp:positionV relativeFrom="paragraph">
                  <wp:posOffset>90805</wp:posOffset>
                </wp:positionV>
                <wp:extent cx="152400" cy="161925"/>
                <wp:effectExtent l="4445" t="4445" r="10795" b="16510"/>
                <wp:wrapNone/>
                <wp:docPr id="2" name="Надпись 2"/>
                <wp:cNvGraphicFramePr/>
                <a:graphic xmlns:a="http://schemas.openxmlformats.org/drawingml/2006/main">
                  <a:graphicData uri="http://schemas.microsoft.com/office/word/2010/wordprocessingShape">
                    <wps:wsp>
                      <wps:cNvSpPr txBox="1">
                        <a:spLocks noChangeArrowheads="1"/>
                      </wps:cNvSpPr>
                      <wps:spPr bwMode="auto">
                        <a:xfrm>
                          <a:off x="0" y="0"/>
                          <a:ext cx="152400" cy="161925"/>
                        </a:xfrm>
                        <a:prstGeom prst="rect">
                          <a:avLst/>
                        </a:prstGeom>
                        <a:solidFill>
                          <a:srgbClr val="FFFFFF"/>
                        </a:solidFill>
                        <a:ln w="9525">
                          <a:solidFill>
                            <a:srgbClr val="000000"/>
                          </a:solidFill>
                          <a:miter lim="800000"/>
                        </a:ln>
                      </wps:spPr>
                      <wps:txbx>
                        <w:txbxContent>
                          <w:p w14:paraId="4CF7DD8F"/>
                        </w:txbxContent>
                      </wps:txbx>
                      <wps:bodyPr rot="0" vert="horz" wrap="square" lIns="91440" tIns="45720" rIns="91440" bIns="45720" anchor="t" anchorCtr="0" upright="1">
                        <a:noAutofit/>
                      </wps:bodyPr>
                    </wps:wsp>
                  </a:graphicData>
                </a:graphic>
              </wp:anchor>
            </w:drawing>
          </mc:Choice>
          <mc:Fallback>
            <w:pict>
              <v:shape id="Надпись 2" o:spid="_x0000_s1026" o:spt="202" type="#_x0000_t202" style="position:absolute;left:0pt;margin-left:34.95pt;margin-top:7.15pt;height:12.75pt;width:12pt;z-index:251661312;mso-width-relative:page;mso-height-relative:page;" fillcolor="#FFFFFF" filled="t" stroked="t" coordsize="21600,21600" o:gfxdata="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A5EVn3VAAAABwEAAA8AAAAAAAAAAQAgAAAAIgAA&#10;AGRycy9kb3ducmV2LnhtbFBLAQIUABQAAAAIAIdO4kAQ6rLfRAIAAIsEAAAOAAAAAAAAAAEAIAAA&#10;ACQBAABkcnMvZTJvRG9jLnhtbFBLBQYAAAAABgAGAFkBAADaBQAAAAA=&#10;">
                <v:fill on="t" focussize="0,0"/>
                <v:stroke color="#000000" miterlimit="8" joinstyle="miter"/>
                <v:imagedata o:title=""/>
                <o:lock v:ext="edit" aspectratio="f"/>
                <v:textbox>
                  <w:txbxContent>
                    <w:p w14:paraId="4CF7DD8F"/>
                  </w:txbxContent>
                </v:textbox>
              </v:shape>
            </w:pict>
          </mc:Fallback>
        </mc:AlternateContent>
      </w:r>
      <w:r>
        <w:rPr>
          <w:rFonts w:ascii="Times New Roman" w:hAnsi="Times New Roman" w:cs="Times New Roman"/>
          <w:iCs/>
          <w:color w:val="000000"/>
          <w:sz w:val="19"/>
          <w:szCs w:val="19"/>
        </w:rPr>
        <w:tab/>
      </w:r>
    </w:p>
    <w:p w14:paraId="41258A64">
      <w:pPr>
        <w:tabs>
          <w:tab w:val="left" w:pos="1470"/>
        </w:tabs>
        <w:spacing w:after="0" w:line="240" w:lineRule="auto"/>
        <w:ind w:firstLine="709"/>
        <w:jc w:val="both"/>
        <w:rPr>
          <w:rFonts w:ascii="Times New Roman" w:hAnsi="Times New Roman" w:cs="Times New Roman"/>
          <w:iCs/>
          <w:color w:val="000000"/>
          <w:sz w:val="19"/>
          <w:szCs w:val="19"/>
        </w:rPr>
      </w:pPr>
      <w:r>
        <w:rPr>
          <w:rFonts w:ascii="Times New Roman" w:hAnsi="Times New Roman" w:cs="Times New Roman"/>
          <w:iCs/>
          <w:color w:val="000000"/>
          <w:sz w:val="19"/>
          <w:szCs w:val="19"/>
        </w:rPr>
        <w:t xml:space="preserve">           Контактный номер телефона.</w:t>
      </w:r>
    </w:p>
    <w:p w14:paraId="583AEA87">
      <w:pPr>
        <w:pStyle w:val="4"/>
        <w:spacing w:before="0" w:after="0" w:line="240" w:lineRule="auto"/>
        <w:jc w:val="both"/>
        <w:rPr>
          <w:rFonts w:ascii="Times New Roman" w:hAnsi="Times New Roman" w:eastAsia="Times New Roman" w:cs="Times New Roman"/>
          <w:color w:val="292C2F"/>
          <w:sz w:val="19"/>
          <w:szCs w:val="19"/>
          <w:lang w:eastAsia="ru-RU"/>
        </w:rPr>
      </w:pPr>
      <w:r>
        <w:rPr>
          <w:rFonts w:ascii="Times New Roman" w:hAnsi="Times New Roman" w:cs="Times New Roman"/>
          <w:color w:val="000000"/>
          <w:sz w:val="19"/>
          <w:szCs w:val="19"/>
        </w:rPr>
        <w:t xml:space="preserve">Оператор вправе, привлекать третьих лиц к обработке персональных данных путем поручения третьим лицам обработки персональных данных и (или) путем передачи третьим лицам персональных данных без поручения обработки персональных данных. Привлечение третьих лиц к обработке персональных данных может осуществляться только при условии обработки такими лицами персональных данных в минимально необходимом составе и исключительно для достижения предусмотренной настоящим Согласием цели обработки персональных данных, а также при условии обеспечения такими лицами конфиденциальности и безопасности персональных данных при их обработке. </w:t>
      </w:r>
      <w:r>
        <w:rPr>
          <w:rFonts w:ascii="Times New Roman" w:hAnsi="Times New Roman" w:cs="Times New Roman"/>
          <w:b/>
          <w:bCs/>
          <w:i/>
          <w:iCs/>
          <w:sz w:val="19"/>
          <w:szCs w:val="19"/>
          <w:u w:val="single"/>
        </w:rPr>
        <w:t xml:space="preserve">Индивидуальный предприниматель Комельгак Татьяна Александровна, </w:t>
      </w:r>
      <w:r>
        <w:rPr>
          <w:rFonts w:ascii="Times New Roman" w:hAnsi="Times New Roman" w:cs="Times New Roman"/>
          <w:b/>
          <w:bCs/>
          <w:i/>
          <w:iCs/>
          <w:spacing w:val="-2"/>
          <w:sz w:val="19"/>
          <w:szCs w:val="19"/>
          <w:u w:val="single"/>
        </w:rPr>
        <w:t xml:space="preserve">Управление Федеральной службы государственной регистрации, кадастра и картографии по Краснодарскому краю, </w:t>
      </w:r>
      <w:r>
        <w:rPr>
          <w:rFonts w:ascii="Times New Roman" w:hAnsi="Times New Roman" w:eastAsia="Times New Roman" w:cs="Times New Roman"/>
          <w:b/>
          <w:bCs/>
          <w:i/>
          <w:iCs/>
          <w:color w:val="292C2F"/>
          <w:sz w:val="19"/>
          <w:szCs w:val="19"/>
          <w:u w:val="single"/>
          <w:lang w:eastAsia="ru-RU"/>
        </w:rPr>
        <w:t xml:space="preserve">Филиал ППК «Роскадастр» по Краснодарскому краю, </w:t>
      </w:r>
      <w:r>
        <w:rPr>
          <w:rFonts w:ascii="Times New Roman" w:hAnsi="Times New Roman" w:cs="Times New Roman"/>
          <w:b/>
          <w:bCs/>
          <w:i/>
          <w:iCs/>
          <w:sz w:val="19"/>
          <w:szCs w:val="19"/>
          <w:u w:val="single"/>
        </w:rPr>
        <w:t>Удостоверяющий центр АО «Аналитический Центр» (</w:t>
      </w:r>
      <w:r>
        <w:rPr>
          <w:rFonts w:ascii="Times New Roman" w:hAnsi="Times New Roman" w:cs="Times New Roman"/>
          <w:b/>
          <w:bCs/>
          <w:i/>
          <w:iCs/>
          <w:sz w:val="19"/>
          <w:szCs w:val="19"/>
          <w:u w:val="single"/>
          <w:lang w:val="en-US"/>
        </w:rPr>
        <w:t>Sign</w:t>
      </w:r>
      <w:r>
        <w:rPr>
          <w:rFonts w:ascii="Times New Roman" w:hAnsi="Times New Roman" w:cs="Times New Roman"/>
          <w:b/>
          <w:bCs/>
          <w:i/>
          <w:iCs/>
          <w:sz w:val="19"/>
          <w:szCs w:val="19"/>
          <w:u w:val="single"/>
        </w:rPr>
        <w:t>.</w:t>
      </w:r>
      <w:r>
        <w:rPr>
          <w:rFonts w:ascii="Times New Roman" w:hAnsi="Times New Roman" w:cs="Times New Roman"/>
          <w:b/>
          <w:bCs/>
          <w:i/>
          <w:iCs/>
          <w:sz w:val="19"/>
          <w:szCs w:val="19"/>
          <w:u w:val="single"/>
          <w:lang w:val="en-US"/>
        </w:rPr>
        <w:t>me</w:t>
      </w:r>
      <w:r>
        <w:rPr>
          <w:rFonts w:ascii="Times New Roman" w:hAnsi="Times New Roman" w:cs="Times New Roman"/>
          <w:b/>
          <w:bCs/>
          <w:i/>
          <w:iCs/>
          <w:sz w:val="19"/>
          <w:szCs w:val="19"/>
          <w:u w:val="single"/>
        </w:rPr>
        <w:t xml:space="preserve">, Госключ), Общество с ограниченной ответственностью «СКБ Техно», </w:t>
      </w:r>
      <w:r>
        <w:rPr>
          <w:rFonts w:ascii="Times New Roman" w:hAnsi="Times New Roman" w:cs="Times New Roman"/>
          <w:b/>
          <w:bCs/>
          <w:i/>
          <w:iCs/>
          <w:sz w:val="19"/>
          <w:szCs w:val="19"/>
          <w:u w:val="single"/>
          <w:lang w:val="en-US"/>
        </w:rPr>
        <w:t>SmartDeal</w:t>
      </w:r>
      <w:r>
        <w:rPr>
          <w:rFonts w:ascii="Times New Roman" w:hAnsi="Times New Roman" w:cs="Times New Roman"/>
          <w:b/>
          <w:bCs/>
          <w:i/>
          <w:iCs/>
          <w:sz w:val="19"/>
          <w:szCs w:val="19"/>
          <w:u w:val="single"/>
        </w:rPr>
        <w:t xml:space="preserve">, ПАО «Сбербанк», (ДомКлик), ПАО «ВТБ» (М2), ПАО «Банк ПСБ»,  ПАО «Совкомбанк», АО «АЛЬФА-БАНК».  </w:t>
      </w:r>
    </w:p>
    <w:p w14:paraId="674432D4">
      <w:pPr>
        <w:pStyle w:val="184"/>
        <w:rPr>
          <w:sz w:val="19"/>
          <w:szCs w:val="19"/>
        </w:rPr>
      </w:pPr>
      <w:r>
        <w:rPr>
          <w:sz w:val="19"/>
          <w:szCs w:val="19"/>
        </w:rPr>
        <w:t>Настоящее Согласие действует со дня его подписания и до момента его отзыва или до завершения сроков хранения, определенных в действующем законодательстве, или до достижения цели обработки.</w:t>
      </w:r>
    </w:p>
    <w:p w14:paraId="3E5EDD89">
      <w:pPr>
        <w:pStyle w:val="184"/>
        <w:rPr>
          <w:sz w:val="19"/>
          <w:szCs w:val="19"/>
        </w:rPr>
      </w:pPr>
      <w:r>
        <w:rPr>
          <w:sz w:val="19"/>
          <w:szCs w:val="19"/>
        </w:rPr>
        <w:t xml:space="preserve">Я уведомлен(а) о том, что настоящее Согласие может быть отозвано мной в соответствии со ст.9 Федерального закона от 27.07.2006 № 152-ФЗ «О персональных данных» путем представления письменного обращения по адресу Оператора. Указанное письменное обращение должно содержать следующие сведения обо мне: (1) фамилия, имя, отчество; (2) адрес места жительства; (3) наименование и номер основного документа, удостоверяющего личность; (4) сведения о дате выдачи указанного документа и выдавшем его органе; (5) подпись. Я уведомлен(а) о том, что в случае отзыва настоящего Согласия Оператор вправе продолжить обработку моих персональных данных без моего согласия при наличии оснований, указанных в п.п.2-11 ч.1 ст.6, ч.2 ст.10 и ч.2 ст.11 Федерального закона от 27.07.2006 № 152-ФЗ «О персональных данных». </w:t>
      </w:r>
    </w:p>
    <w:p w14:paraId="13388C4C">
      <w:pPr>
        <w:pStyle w:val="184"/>
        <w:rPr>
          <w:sz w:val="19"/>
          <w:szCs w:val="19"/>
        </w:rPr>
      </w:pPr>
    </w:p>
    <w:p w14:paraId="7B6AEEE3">
      <w:pPr>
        <w:pStyle w:val="184"/>
        <w:rPr>
          <w:sz w:val="19"/>
          <w:szCs w:val="19"/>
        </w:rPr>
      </w:pPr>
    </w:p>
    <w:p w14:paraId="505B6BE8">
      <w:pPr>
        <w:pStyle w:val="184"/>
        <w:rPr>
          <w:sz w:val="19"/>
          <w:szCs w:val="19"/>
        </w:rPr>
      </w:pPr>
      <w:r>
        <w:rPr>
          <w:sz w:val="19"/>
          <w:szCs w:val="19"/>
        </w:rPr>
        <w:t>«___» ______________ 20___ года</w:t>
      </w:r>
      <w:r>
        <w:rPr>
          <w:sz w:val="19"/>
          <w:szCs w:val="19"/>
        </w:rPr>
        <w:tab/>
      </w:r>
      <w:r>
        <w:rPr>
          <w:sz w:val="19"/>
          <w:szCs w:val="19"/>
        </w:rPr>
        <w:t>____________</w:t>
      </w:r>
      <w:r>
        <w:rPr>
          <w:sz w:val="19"/>
          <w:szCs w:val="19"/>
        </w:rPr>
        <w:tab/>
      </w:r>
      <w:r>
        <w:rPr>
          <w:sz w:val="19"/>
          <w:szCs w:val="19"/>
        </w:rPr>
        <w:t>/_________________</w:t>
      </w:r>
    </w:p>
    <w:p w14:paraId="5E477D6B">
      <w:pPr>
        <w:pStyle w:val="184"/>
        <w:rPr>
          <w:sz w:val="19"/>
          <w:szCs w:val="19"/>
        </w:rPr>
      </w:pPr>
      <w:r>
        <w:rPr>
          <w:sz w:val="19"/>
          <w:szCs w:val="19"/>
        </w:rPr>
        <w:tab/>
      </w:r>
      <w:r>
        <w:rPr>
          <w:sz w:val="19"/>
          <w:szCs w:val="19"/>
        </w:rPr>
        <w:t xml:space="preserve">                                                              подпись</w:t>
      </w:r>
      <w:r>
        <w:rPr>
          <w:sz w:val="19"/>
          <w:szCs w:val="19"/>
        </w:rPr>
        <w:tab/>
      </w:r>
      <w:r>
        <w:rPr>
          <w:sz w:val="19"/>
          <w:szCs w:val="19"/>
        </w:rPr>
        <w:t>расшифровка подписи</w:t>
      </w:r>
    </w:p>
    <w:p w14:paraId="6E832206">
      <w:pPr>
        <w:pStyle w:val="184"/>
        <w:ind w:firstLine="0"/>
        <w:rPr>
          <w:sz w:val="19"/>
          <w:szCs w:val="19"/>
        </w:rPr>
      </w:pPr>
    </w:p>
    <w:p w14:paraId="237FD0AA">
      <w:pPr>
        <w:pStyle w:val="184"/>
        <w:ind w:firstLine="0"/>
      </w:pPr>
    </w:p>
    <w:sectPr>
      <w:headerReference r:id="rId7" w:type="first"/>
      <w:footerReference r:id="rId10" w:type="first"/>
      <w:headerReference r:id="rId5" w:type="default"/>
      <w:footerReference r:id="rId8" w:type="default"/>
      <w:headerReference r:id="rId6" w:type="even"/>
      <w:footerReference r:id="rId9" w:type="even"/>
      <w:pgSz w:w="11906" w:h="16838"/>
      <w:pgMar w:top="567" w:right="567" w:bottom="567" w:left="1134" w:header="567" w:footer="567"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Arial">
    <w:panose1 w:val="020B0604020202020204"/>
    <w:charset w:val="CC"/>
    <w:family w:val="swiss"/>
    <w:pitch w:val="default"/>
    <w:sig w:usb0="E0002EFF" w:usb1="C000785B" w:usb2="00000009" w:usb3="00000000" w:csb0="400001FF" w:csb1="FFFF0000"/>
  </w:font>
  <w:font w:name="Arial CYR">
    <w:altName w:val="Arial"/>
    <w:panose1 w:val="020B0604020202020204"/>
    <w:charset w:val="00"/>
    <w:family w:val="auto"/>
    <w:pitch w:val="default"/>
    <w:sig w:usb0="00000000" w:usb1="00000000" w:usb2="00000000" w:usb3="00000000" w:csb0="00000000" w:csb1="00000000"/>
  </w:font>
  <w:font w:name="Segoe UI">
    <w:panose1 w:val="020B0502040204020203"/>
    <w:charset w:val="CC"/>
    <w:family w:val="swiss"/>
    <w:pitch w:val="default"/>
    <w:sig w:usb0="E4002EFF" w:usb1="C000E47F" w:usb2="00000009" w:usb3="00000000" w:csb0="200001FF" w:csb1="00000000"/>
  </w:font>
  <w:font w:name="Lucida Sans Unicode">
    <w:panose1 w:val="020B0602030504020204"/>
    <w:charset w:val="CC"/>
    <w:family w:val="swiss"/>
    <w:pitch w:val="default"/>
    <w:sig w:usb0="80001AFF" w:usb1="0000396B" w:usb2="00000000" w:usb3="00000000" w:csb0="200000BF" w:csb1="D7F70000"/>
  </w:font>
  <w:font w:name="Arial CYR">
    <w:altName w:val="Arial"/>
    <w:panose1 w:val="020B0604020202020204"/>
    <w:charset w:val="CC"/>
    <w:family w:val="swiss"/>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53548374"/>
      <w:docPartObj>
        <w:docPartGallery w:val="AutoText"/>
      </w:docPartObj>
    </w:sdtPr>
    <w:sdtContent>
      <w:p w14:paraId="725F6213">
        <w:pPr>
          <w:pStyle w:val="35"/>
          <w:jc w:val="right"/>
        </w:pPr>
        <w:r>
          <w:fldChar w:fldCharType="begin"/>
        </w:r>
        <w:r>
          <w:instrText xml:space="preserve">PAGE   \* MERGEFORMAT</w:instrText>
        </w:r>
        <w:r>
          <w:fldChar w:fldCharType="separate"/>
        </w:r>
        <w:r>
          <w:t>4</w:t>
        </w:r>
        <w:r>
          <w:fldChar w:fldCharType="end"/>
        </w:r>
      </w:p>
    </w:sdtContent>
  </w:sdt>
  <w:p w14:paraId="50425D86">
    <w:pPr>
      <w:pStyle w:val="3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31C3A">
    <w:pPr>
      <w:pStyle w:val="3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E2AAC">
    <w:pPr>
      <w:pStyle w:val="3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6" w:lineRule="auto"/>
      </w:pPr>
      <w:r>
        <w:separator/>
      </w:r>
    </w:p>
  </w:footnote>
  <w:footnote w:type="continuationSeparator" w:id="1">
    <w:p>
      <w:pPr>
        <w:spacing w:before="0" w:after="0" w:line="25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AE386A">
    <w:pPr>
      <w:pStyle w:val="2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C15D29">
    <w:pPr>
      <w:pStyle w:val="2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EC9B6F">
    <w:pPr>
      <w:pStyle w:val="2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dit="forms"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01A"/>
    <w:rsid w:val="00027BE9"/>
    <w:rsid w:val="000827EA"/>
    <w:rsid w:val="000F79CA"/>
    <w:rsid w:val="00106475"/>
    <w:rsid w:val="00195992"/>
    <w:rsid w:val="002344A4"/>
    <w:rsid w:val="003E4D5A"/>
    <w:rsid w:val="004854FC"/>
    <w:rsid w:val="00512910"/>
    <w:rsid w:val="00566D0B"/>
    <w:rsid w:val="005B0C64"/>
    <w:rsid w:val="005B22D6"/>
    <w:rsid w:val="00631C47"/>
    <w:rsid w:val="006F0643"/>
    <w:rsid w:val="0071474E"/>
    <w:rsid w:val="007A3BEF"/>
    <w:rsid w:val="0085545E"/>
    <w:rsid w:val="00861D8C"/>
    <w:rsid w:val="009171B6"/>
    <w:rsid w:val="00991268"/>
    <w:rsid w:val="009E53BF"/>
    <w:rsid w:val="00A90D19"/>
    <w:rsid w:val="00AC301A"/>
    <w:rsid w:val="00AC74DB"/>
    <w:rsid w:val="00BC1C7F"/>
    <w:rsid w:val="00C11703"/>
    <w:rsid w:val="00CD40B5"/>
    <w:rsid w:val="00D15E04"/>
    <w:rsid w:val="00D70B84"/>
    <w:rsid w:val="00DC1A5D"/>
    <w:rsid w:val="00E33C3E"/>
    <w:rsid w:val="00E654B0"/>
    <w:rsid w:val="00F16B6E"/>
    <w:rsid w:val="22535F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160" w:line="25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38"/>
    <w:qFormat/>
    <w:uiPriority w:val="9"/>
    <w:pPr>
      <w:keepNext/>
      <w:keepLines/>
      <w:spacing w:before="480" w:after="200"/>
      <w:outlineLvl w:val="0"/>
    </w:pPr>
    <w:rPr>
      <w:rFonts w:ascii="Arial" w:hAnsi="Arial" w:eastAsia="Arial" w:cs="Arial"/>
      <w:sz w:val="40"/>
      <w:szCs w:val="40"/>
    </w:rPr>
  </w:style>
  <w:style w:type="paragraph" w:styleId="3">
    <w:name w:val="heading 2"/>
    <w:basedOn w:val="1"/>
    <w:next w:val="1"/>
    <w:link w:val="39"/>
    <w:unhideWhenUsed/>
    <w:qFormat/>
    <w:uiPriority w:val="9"/>
    <w:pPr>
      <w:keepNext/>
      <w:keepLines/>
      <w:spacing w:before="360" w:after="200"/>
      <w:outlineLvl w:val="1"/>
    </w:pPr>
    <w:rPr>
      <w:rFonts w:ascii="Arial" w:hAnsi="Arial" w:eastAsia="Arial" w:cs="Arial"/>
      <w:sz w:val="34"/>
    </w:rPr>
  </w:style>
  <w:style w:type="paragraph" w:styleId="4">
    <w:name w:val="heading 3"/>
    <w:basedOn w:val="1"/>
    <w:next w:val="1"/>
    <w:link w:val="40"/>
    <w:unhideWhenUsed/>
    <w:qFormat/>
    <w:uiPriority w:val="9"/>
    <w:pPr>
      <w:keepNext/>
      <w:keepLines/>
      <w:spacing w:before="320" w:after="200"/>
      <w:outlineLvl w:val="2"/>
    </w:pPr>
    <w:rPr>
      <w:rFonts w:ascii="Arial" w:hAnsi="Arial" w:eastAsia="Arial" w:cs="Arial"/>
      <w:sz w:val="30"/>
      <w:szCs w:val="30"/>
    </w:rPr>
  </w:style>
  <w:style w:type="paragraph" w:styleId="5">
    <w:name w:val="heading 4"/>
    <w:basedOn w:val="1"/>
    <w:next w:val="1"/>
    <w:link w:val="41"/>
    <w:unhideWhenUsed/>
    <w:qFormat/>
    <w:uiPriority w:val="9"/>
    <w:pPr>
      <w:keepNext/>
      <w:keepLines/>
      <w:spacing w:before="320" w:after="200"/>
      <w:outlineLvl w:val="3"/>
    </w:pPr>
    <w:rPr>
      <w:rFonts w:ascii="Arial" w:hAnsi="Arial" w:eastAsia="Arial" w:cs="Arial"/>
      <w:b/>
      <w:bCs/>
      <w:sz w:val="26"/>
      <w:szCs w:val="26"/>
    </w:rPr>
  </w:style>
  <w:style w:type="paragraph" w:styleId="6">
    <w:name w:val="heading 5"/>
    <w:basedOn w:val="1"/>
    <w:next w:val="1"/>
    <w:link w:val="42"/>
    <w:unhideWhenUsed/>
    <w:qFormat/>
    <w:uiPriority w:val="9"/>
    <w:pPr>
      <w:keepNext/>
      <w:keepLines/>
      <w:spacing w:before="320" w:after="200"/>
      <w:outlineLvl w:val="4"/>
    </w:pPr>
    <w:rPr>
      <w:rFonts w:ascii="Arial" w:hAnsi="Arial" w:eastAsia="Arial" w:cs="Arial"/>
      <w:b/>
      <w:bCs/>
      <w:sz w:val="24"/>
      <w:szCs w:val="24"/>
    </w:rPr>
  </w:style>
  <w:style w:type="paragraph" w:styleId="7">
    <w:name w:val="heading 6"/>
    <w:basedOn w:val="1"/>
    <w:next w:val="1"/>
    <w:link w:val="43"/>
    <w:unhideWhenUsed/>
    <w:qFormat/>
    <w:uiPriority w:val="9"/>
    <w:pPr>
      <w:keepNext/>
      <w:keepLines/>
      <w:spacing w:before="320" w:after="200"/>
      <w:outlineLvl w:val="5"/>
    </w:pPr>
    <w:rPr>
      <w:rFonts w:ascii="Arial" w:hAnsi="Arial" w:eastAsia="Arial" w:cs="Arial"/>
      <w:b/>
      <w:bCs/>
    </w:rPr>
  </w:style>
  <w:style w:type="paragraph" w:styleId="8">
    <w:name w:val="heading 7"/>
    <w:basedOn w:val="1"/>
    <w:next w:val="1"/>
    <w:link w:val="44"/>
    <w:unhideWhenUsed/>
    <w:qFormat/>
    <w:uiPriority w:val="9"/>
    <w:pPr>
      <w:keepNext/>
      <w:keepLines/>
      <w:spacing w:before="320" w:after="200"/>
      <w:outlineLvl w:val="6"/>
    </w:pPr>
    <w:rPr>
      <w:rFonts w:ascii="Arial" w:hAnsi="Arial" w:eastAsia="Arial" w:cs="Arial"/>
      <w:b/>
      <w:bCs/>
      <w:i/>
      <w:iCs/>
    </w:rPr>
  </w:style>
  <w:style w:type="paragraph" w:styleId="9">
    <w:name w:val="heading 8"/>
    <w:basedOn w:val="1"/>
    <w:next w:val="1"/>
    <w:link w:val="45"/>
    <w:unhideWhenUsed/>
    <w:qFormat/>
    <w:uiPriority w:val="9"/>
    <w:pPr>
      <w:keepNext/>
      <w:keepLines/>
      <w:spacing w:before="320" w:after="200"/>
      <w:outlineLvl w:val="7"/>
    </w:pPr>
    <w:rPr>
      <w:rFonts w:ascii="Arial" w:hAnsi="Arial" w:eastAsia="Arial" w:cs="Arial"/>
      <w:i/>
      <w:iCs/>
    </w:rPr>
  </w:style>
  <w:style w:type="paragraph" w:styleId="10">
    <w:name w:val="heading 9"/>
    <w:basedOn w:val="1"/>
    <w:next w:val="1"/>
    <w:link w:val="46"/>
    <w:unhideWhenUsed/>
    <w:qFormat/>
    <w:uiPriority w:val="9"/>
    <w:pPr>
      <w:keepNext/>
      <w:keepLines/>
      <w:spacing w:before="320" w:after="200"/>
      <w:outlineLvl w:val="8"/>
    </w:pPr>
    <w:rPr>
      <w:rFonts w:ascii="Arial" w:hAnsi="Arial" w:eastAsia="Arial" w:cs="Arial"/>
      <w:i/>
      <w:iCs/>
      <w:sz w:val="21"/>
      <w:szCs w:val="21"/>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character" w:styleId="13">
    <w:name w:val="footnote reference"/>
    <w:basedOn w:val="11"/>
    <w:semiHidden/>
    <w:unhideWhenUsed/>
    <w:qFormat/>
    <w:uiPriority w:val="99"/>
    <w:rPr>
      <w:vertAlign w:val="superscript"/>
    </w:rPr>
  </w:style>
  <w:style w:type="character" w:styleId="14">
    <w:name w:val="annotation reference"/>
    <w:basedOn w:val="11"/>
    <w:semiHidden/>
    <w:unhideWhenUsed/>
    <w:qFormat/>
    <w:uiPriority w:val="99"/>
    <w:rPr>
      <w:sz w:val="16"/>
      <w:szCs w:val="16"/>
    </w:rPr>
  </w:style>
  <w:style w:type="character" w:styleId="15">
    <w:name w:val="endnote reference"/>
    <w:basedOn w:val="11"/>
    <w:semiHidden/>
    <w:unhideWhenUsed/>
    <w:qFormat/>
    <w:uiPriority w:val="99"/>
    <w:rPr>
      <w:vertAlign w:val="superscript"/>
    </w:rPr>
  </w:style>
  <w:style w:type="character" w:styleId="16">
    <w:name w:val="Hyperlink"/>
    <w:basedOn w:val="11"/>
    <w:unhideWhenUsed/>
    <w:qFormat/>
    <w:uiPriority w:val="99"/>
    <w:rPr>
      <w:color w:val="0563C1" w:themeColor="hyperlink"/>
      <w:u w:val="single"/>
      <w14:textFill>
        <w14:solidFill>
          <w14:schemeClr w14:val="hlink"/>
        </w14:solidFill>
      </w14:textFill>
    </w:rPr>
  </w:style>
  <w:style w:type="paragraph" w:styleId="17">
    <w:name w:val="Balloon Text"/>
    <w:basedOn w:val="1"/>
    <w:link w:val="196"/>
    <w:semiHidden/>
    <w:unhideWhenUsed/>
    <w:qFormat/>
    <w:uiPriority w:val="99"/>
    <w:pPr>
      <w:spacing w:after="0" w:line="240" w:lineRule="auto"/>
    </w:pPr>
    <w:rPr>
      <w:rFonts w:ascii="Segoe UI" w:hAnsi="Segoe UI" w:cs="Segoe UI"/>
      <w:sz w:val="18"/>
      <w:szCs w:val="18"/>
    </w:rPr>
  </w:style>
  <w:style w:type="paragraph" w:styleId="18">
    <w:name w:val="endnote text"/>
    <w:basedOn w:val="1"/>
    <w:link w:val="182"/>
    <w:semiHidden/>
    <w:unhideWhenUsed/>
    <w:qFormat/>
    <w:uiPriority w:val="99"/>
    <w:pPr>
      <w:spacing w:after="0" w:line="240" w:lineRule="auto"/>
    </w:pPr>
    <w:rPr>
      <w:sz w:val="20"/>
    </w:rPr>
  </w:style>
  <w:style w:type="paragraph" w:styleId="19">
    <w:name w:val="caption"/>
    <w:basedOn w:val="1"/>
    <w:next w:val="1"/>
    <w:semiHidden/>
    <w:unhideWhenUsed/>
    <w:qFormat/>
    <w:uiPriority w:val="35"/>
    <w:pPr>
      <w:spacing w:line="276" w:lineRule="auto"/>
    </w:pPr>
    <w:rPr>
      <w:b/>
      <w:bCs/>
      <w:color w:val="5B9BD5" w:themeColor="accent1"/>
      <w:sz w:val="18"/>
      <w:szCs w:val="18"/>
      <w14:textFill>
        <w14:solidFill>
          <w14:schemeClr w14:val="accent1"/>
        </w14:solidFill>
      </w14:textFill>
    </w:rPr>
  </w:style>
  <w:style w:type="paragraph" w:styleId="20">
    <w:name w:val="annotation text"/>
    <w:basedOn w:val="1"/>
    <w:link w:val="194"/>
    <w:semiHidden/>
    <w:unhideWhenUsed/>
    <w:uiPriority w:val="99"/>
    <w:pPr>
      <w:spacing w:line="240" w:lineRule="auto"/>
    </w:pPr>
    <w:rPr>
      <w:sz w:val="20"/>
      <w:szCs w:val="20"/>
    </w:rPr>
  </w:style>
  <w:style w:type="paragraph" w:styleId="21">
    <w:name w:val="annotation subject"/>
    <w:basedOn w:val="20"/>
    <w:next w:val="20"/>
    <w:link w:val="195"/>
    <w:semiHidden/>
    <w:unhideWhenUsed/>
    <w:qFormat/>
    <w:uiPriority w:val="99"/>
    <w:rPr>
      <w:b/>
      <w:bCs/>
    </w:rPr>
  </w:style>
  <w:style w:type="paragraph" w:styleId="22">
    <w:name w:val="footnote text"/>
    <w:basedOn w:val="1"/>
    <w:link w:val="197"/>
    <w:semiHidden/>
    <w:unhideWhenUsed/>
    <w:qFormat/>
    <w:uiPriority w:val="99"/>
    <w:pPr>
      <w:spacing w:after="0" w:line="240" w:lineRule="auto"/>
    </w:pPr>
    <w:rPr>
      <w:sz w:val="20"/>
      <w:szCs w:val="20"/>
    </w:rPr>
  </w:style>
  <w:style w:type="paragraph" w:styleId="23">
    <w:name w:val="toc 8"/>
    <w:basedOn w:val="1"/>
    <w:next w:val="1"/>
    <w:unhideWhenUsed/>
    <w:qFormat/>
    <w:uiPriority w:val="39"/>
    <w:pPr>
      <w:spacing w:after="57"/>
      <w:ind w:left="1984"/>
    </w:pPr>
  </w:style>
  <w:style w:type="paragraph" w:styleId="24">
    <w:name w:val="header"/>
    <w:basedOn w:val="1"/>
    <w:link w:val="190"/>
    <w:unhideWhenUsed/>
    <w:qFormat/>
    <w:uiPriority w:val="99"/>
    <w:pPr>
      <w:tabs>
        <w:tab w:val="center" w:pos="4677"/>
        <w:tab w:val="right" w:pos="9355"/>
      </w:tabs>
      <w:spacing w:after="0" w:line="240" w:lineRule="auto"/>
    </w:pPr>
  </w:style>
  <w:style w:type="paragraph" w:styleId="25">
    <w:name w:val="toc 9"/>
    <w:basedOn w:val="1"/>
    <w:next w:val="1"/>
    <w:unhideWhenUsed/>
    <w:qFormat/>
    <w:uiPriority w:val="39"/>
    <w:pPr>
      <w:spacing w:after="57"/>
      <w:ind w:left="2268"/>
    </w:pPr>
  </w:style>
  <w:style w:type="paragraph" w:styleId="26">
    <w:name w:val="toc 7"/>
    <w:basedOn w:val="1"/>
    <w:next w:val="1"/>
    <w:unhideWhenUsed/>
    <w:qFormat/>
    <w:uiPriority w:val="39"/>
    <w:pPr>
      <w:spacing w:after="57"/>
      <w:ind w:left="1701"/>
    </w:pPr>
  </w:style>
  <w:style w:type="paragraph" w:styleId="27">
    <w:name w:val="toc 1"/>
    <w:basedOn w:val="1"/>
    <w:next w:val="1"/>
    <w:unhideWhenUsed/>
    <w:qFormat/>
    <w:uiPriority w:val="39"/>
    <w:pPr>
      <w:spacing w:after="57"/>
    </w:pPr>
  </w:style>
  <w:style w:type="paragraph" w:styleId="28">
    <w:name w:val="toc 6"/>
    <w:basedOn w:val="1"/>
    <w:next w:val="1"/>
    <w:unhideWhenUsed/>
    <w:qFormat/>
    <w:uiPriority w:val="39"/>
    <w:pPr>
      <w:spacing w:after="57"/>
      <w:ind w:left="1417"/>
    </w:pPr>
  </w:style>
  <w:style w:type="paragraph" w:styleId="29">
    <w:name w:val="table of figures"/>
    <w:basedOn w:val="1"/>
    <w:next w:val="1"/>
    <w:unhideWhenUsed/>
    <w:qFormat/>
    <w:uiPriority w:val="99"/>
    <w:pPr>
      <w:spacing w:after="0"/>
    </w:pPr>
  </w:style>
  <w:style w:type="paragraph" w:styleId="30">
    <w:name w:val="toc 3"/>
    <w:basedOn w:val="1"/>
    <w:next w:val="1"/>
    <w:unhideWhenUsed/>
    <w:qFormat/>
    <w:uiPriority w:val="39"/>
    <w:pPr>
      <w:spacing w:after="57"/>
      <w:ind w:left="567"/>
    </w:pPr>
  </w:style>
  <w:style w:type="paragraph" w:styleId="31">
    <w:name w:val="toc 2"/>
    <w:basedOn w:val="1"/>
    <w:next w:val="1"/>
    <w:unhideWhenUsed/>
    <w:qFormat/>
    <w:uiPriority w:val="39"/>
    <w:pPr>
      <w:spacing w:after="57"/>
      <w:ind w:left="283"/>
    </w:pPr>
  </w:style>
  <w:style w:type="paragraph" w:styleId="32">
    <w:name w:val="toc 4"/>
    <w:basedOn w:val="1"/>
    <w:next w:val="1"/>
    <w:unhideWhenUsed/>
    <w:qFormat/>
    <w:uiPriority w:val="39"/>
    <w:pPr>
      <w:spacing w:after="57"/>
      <w:ind w:left="850"/>
    </w:pPr>
  </w:style>
  <w:style w:type="paragraph" w:styleId="33">
    <w:name w:val="toc 5"/>
    <w:basedOn w:val="1"/>
    <w:next w:val="1"/>
    <w:unhideWhenUsed/>
    <w:qFormat/>
    <w:uiPriority w:val="39"/>
    <w:pPr>
      <w:spacing w:after="57"/>
      <w:ind w:left="1134"/>
    </w:pPr>
  </w:style>
  <w:style w:type="paragraph" w:styleId="34">
    <w:name w:val="Title"/>
    <w:basedOn w:val="1"/>
    <w:next w:val="1"/>
    <w:link w:val="47"/>
    <w:qFormat/>
    <w:uiPriority w:val="10"/>
    <w:pPr>
      <w:spacing w:before="300" w:after="200"/>
      <w:contextualSpacing/>
    </w:pPr>
    <w:rPr>
      <w:sz w:val="48"/>
      <w:szCs w:val="48"/>
    </w:rPr>
  </w:style>
  <w:style w:type="paragraph" w:styleId="35">
    <w:name w:val="footer"/>
    <w:basedOn w:val="1"/>
    <w:link w:val="191"/>
    <w:unhideWhenUsed/>
    <w:qFormat/>
    <w:uiPriority w:val="99"/>
    <w:pPr>
      <w:tabs>
        <w:tab w:val="center" w:pos="4677"/>
        <w:tab w:val="right" w:pos="9355"/>
      </w:tabs>
      <w:spacing w:after="0" w:line="240" w:lineRule="auto"/>
    </w:pPr>
  </w:style>
  <w:style w:type="paragraph" w:styleId="36">
    <w:name w:val="Subtitle"/>
    <w:basedOn w:val="1"/>
    <w:next w:val="1"/>
    <w:link w:val="48"/>
    <w:qFormat/>
    <w:uiPriority w:val="11"/>
    <w:pPr>
      <w:spacing w:before="200" w:after="200"/>
    </w:pPr>
    <w:rPr>
      <w:sz w:val="24"/>
      <w:szCs w:val="24"/>
    </w:rPr>
  </w:style>
  <w:style w:type="table" w:styleId="37">
    <w:name w:val="Table Grid"/>
    <w:basedOn w:val="12"/>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38">
    <w:name w:val="Заголовок 1 Знак"/>
    <w:basedOn w:val="11"/>
    <w:link w:val="2"/>
    <w:uiPriority w:val="9"/>
    <w:rPr>
      <w:rFonts w:ascii="Arial" w:hAnsi="Arial" w:eastAsia="Arial" w:cs="Arial"/>
      <w:sz w:val="40"/>
      <w:szCs w:val="40"/>
    </w:rPr>
  </w:style>
  <w:style w:type="character" w:customStyle="1" w:styleId="39">
    <w:name w:val="Заголовок 2 Знак"/>
    <w:basedOn w:val="11"/>
    <w:link w:val="3"/>
    <w:qFormat/>
    <w:uiPriority w:val="9"/>
    <w:rPr>
      <w:rFonts w:ascii="Arial" w:hAnsi="Arial" w:eastAsia="Arial" w:cs="Arial"/>
      <w:sz w:val="34"/>
    </w:rPr>
  </w:style>
  <w:style w:type="character" w:customStyle="1" w:styleId="40">
    <w:name w:val="Заголовок 3 Знак"/>
    <w:basedOn w:val="11"/>
    <w:link w:val="4"/>
    <w:qFormat/>
    <w:uiPriority w:val="9"/>
    <w:rPr>
      <w:rFonts w:ascii="Arial" w:hAnsi="Arial" w:eastAsia="Arial" w:cs="Arial"/>
      <w:sz w:val="30"/>
      <w:szCs w:val="30"/>
    </w:rPr>
  </w:style>
  <w:style w:type="character" w:customStyle="1" w:styleId="41">
    <w:name w:val="Заголовок 4 Знак"/>
    <w:basedOn w:val="11"/>
    <w:link w:val="5"/>
    <w:uiPriority w:val="9"/>
    <w:rPr>
      <w:rFonts w:ascii="Arial" w:hAnsi="Arial" w:eastAsia="Arial" w:cs="Arial"/>
      <w:b/>
      <w:bCs/>
      <w:sz w:val="26"/>
      <w:szCs w:val="26"/>
    </w:rPr>
  </w:style>
  <w:style w:type="character" w:customStyle="1" w:styleId="42">
    <w:name w:val="Заголовок 5 Знак"/>
    <w:basedOn w:val="11"/>
    <w:link w:val="6"/>
    <w:qFormat/>
    <w:uiPriority w:val="9"/>
    <w:rPr>
      <w:rFonts w:ascii="Arial" w:hAnsi="Arial" w:eastAsia="Arial" w:cs="Arial"/>
      <w:b/>
      <w:bCs/>
      <w:sz w:val="24"/>
      <w:szCs w:val="24"/>
    </w:rPr>
  </w:style>
  <w:style w:type="character" w:customStyle="1" w:styleId="43">
    <w:name w:val="Заголовок 6 Знак"/>
    <w:basedOn w:val="11"/>
    <w:link w:val="7"/>
    <w:uiPriority w:val="9"/>
    <w:rPr>
      <w:rFonts w:ascii="Arial" w:hAnsi="Arial" w:eastAsia="Arial" w:cs="Arial"/>
      <w:b/>
      <w:bCs/>
      <w:sz w:val="22"/>
      <w:szCs w:val="22"/>
    </w:rPr>
  </w:style>
  <w:style w:type="character" w:customStyle="1" w:styleId="44">
    <w:name w:val="Заголовок 7 Знак"/>
    <w:basedOn w:val="11"/>
    <w:link w:val="8"/>
    <w:qFormat/>
    <w:uiPriority w:val="9"/>
    <w:rPr>
      <w:rFonts w:ascii="Arial" w:hAnsi="Arial" w:eastAsia="Arial" w:cs="Arial"/>
      <w:b/>
      <w:bCs/>
      <w:i/>
      <w:iCs/>
      <w:sz w:val="22"/>
      <w:szCs w:val="22"/>
    </w:rPr>
  </w:style>
  <w:style w:type="character" w:customStyle="1" w:styleId="45">
    <w:name w:val="Заголовок 8 Знак"/>
    <w:basedOn w:val="11"/>
    <w:link w:val="9"/>
    <w:qFormat/>
    <w:uiPriority w:val="9"/>
    <w:rPr>
      <w:rFonts w:ascii="Arial" w:hAnsi="Arial" w:eastAsia="Arial" w:cs="Arial"/>
      <w:i/>
      <w:iCs/>
      <w:sz w:val="22"/>
      <w:szCs w:val="22"/>
    </w:rPr>
  </w:style>
  <w:style w:type="character" w:customStyle="1" w:styleId="46">
    <w:name w:val="Заголовок 9 Знак"/>
    <w:basedOn w:val="11"/>
    <w:link w:val="10"/>
    <w:qFormat/>
    <w:uiPriority w:val="9"/>
    <w:rPr>
      <w:rFonts w:ascii="Arial" w:hAnsi="Arial" w:eastAsia="Arial" w:cs="Arial"/>
      <w:i/>
      <w:iCs/>
      <w:sz w:val="21"/>
      <w:szCs w:val="21"/>
    </w:rPr>
  </w:style>
  <w:style w:type="character" w:customStyle="1" w:styleId="47">
    <w:name w:val="Заголовок Знак"/>
    <w:basedOn w:val="11"/>
    <w:link w:val="34"/>
    <w:qFormat/>
    <w:uiPriority w:val="10"/>
    <w:rPr>
      <w:sz w:val="48"/>
      <w:szCs w:val="48"/>
    </w:rPr>
  </w:style>
  <w:style w:type="character" w:customStyle="1" w:styleId="48">
    <w:name w:val="Подзаголовок Знак"/>
    <w:basedOn w:val="11"/>
    <w:link w:val="36"/>
    <w:qFormat/>
    <w:uiPriority w:val="11"/>
    <w:rPr>
      <w:sz w:val="24"/>
      <w:szCs w:val="24"/>
    </w:rPr>
  </w:style>
  <w:style w:type="paragraph" w:styleId="49">
    <w:name w:val="Quote"/>
    <w:basedOn w:val="1"/>
    <w:next w:val="1"/>
    <w:link w:val="50"/>
    <w:qFormat/>
    <w:uiPriority w:val="29"/>
    <w:pPr>
      <w:ind w:left="720" w:right="720"/>
    </w:pPr>
    <w:rPr>
      <w:i/>
    </w:rPr>
  </w:style>
  <w:style w:type="character" w:customStyle="1" w:styleId="50">
    <w:name w:val="Цитата 2 Знак"/>
    <w:link w:val="49"/>
    <w:qFormat/>
    <w:uiPriority w:val="29"/>
    <w:rPr>
      <w:i/>
    </w:rPr>
  </w:style>
  <w:style w:type="paragraph" w:styleId="51">
    <w:name w:val="Intense Quote"/>
    <w:basedOn w:val="1"/>
    <w:next w:val="1"/>
    <w:link w:val="52"/>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52">
    <w:name w:val="Выделенная цитата Знак"/>
    <w:link w:val="51"/>
    <w:qFormat/>
    <w:uiPriority w:val="30"/>
    <w:rPr>
      <w:i/>
    </w:rPr>
  </w:style>
  <w:style w:type="character" w:customStyle="1" w:styleId="53">
    <w:name w:val="Header Char"/>
    <w:basedOn w:val="11"/>
    <w:qFormat/>
    <w:uiPriority w:val="99"/>
  </w:style>
  <w:style w:type="character" w:customStyle="1" w:styleId="54">
    <w:name w:val="Footer Char"/>
    <w:basedOn w:val="11"/>
    <w:qFormat/>
    <w:uiPriority w:val="99"/>
  </w:style>
  <w:style w:type="character" w:customStyle="1" w:styleId="55">
    <w:name w:val="Caption Char"/>
    <w:qFormat/>
    <w:uiPriority w:val="99"/>
  </w:style>
  <w:style w:type="table" w:customStyle="1" w:styleId="56">
    <w:name w:val="Table Grid Light"/>
    <w:basedOn w:val="12"/>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style>
  <w:style w:type="table" w:customStyle="1" w:styleId="57">
    <w:name w:val="Plain Table 1"/>
    <w:basedOn w:val="12"/>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58">
    <w:name w:val="Plain Table 2"/>
    <w:basedOn w:val="12"/>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59">
    <w:name w:val="Plain Table 3"/>
    <w:basedOn w:val="12"/>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0">
    <w:name w:val="Plain Table 4"/>
    <w:basedOn w:val="12"/>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1">
    <w:name w:val="Plain Table 5"/>
    <w:basedOn w:val="12"/>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2">
    <w:name w:val="Grid Table 1 Light"/>
    <w:basedOn w:val="12"/>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63">
    <w:name w:val="Grid Table 1 Light - Accent 1"/>
    <w:basedOn w:val="12"/>
    <w:qFormat/>
    <w:uiPriority w:val="99"/>
    <w:pPr>
      <w:spacing w:after="0" w:line="240" w:lineRule="auto"/>
    </w:pPr>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b/>
        <w:color w:val="404040"/>
      </w:rPr>
      <w:tcPr>
        <w:tcBorders>
          <w:bottom w:val="single" w:color="9FC4E6"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style>
  <w:style w:type="table" w:customStyle="1" w:styleId="64">
    <w:name w:val="Grid Table 1 Light - Accent 2"/>
    <w:basedOn w:val="12"/>
    <w:qFormat/>
    <w:uiPriority w:val="99"/>
    <w:pPr>
      <w:spacing w:after="0" w:line="240" w:lineRule="auto"/>
    </w:p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b/>
        <w:color w:val="404040"/>
      </w:rPr>
      <w:tcPr>
        <w:tcBorders>
          <w:bottom w:val="single" w:color="F4B38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style>
  <w:style w:type="table" w:customStyle="1" w:styleId="65">
    <w:name w:val="Grid Table 1 Light - Accent 3"/>
    <w:basedOn w:val="12"/>
    <w:qFormat/>
    <w:uiPriority w:val="99"/>
    <w:pPr>
      <w:spacing w:after="0" w:line="240" w:lineRule="auto"/>
    </w:p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b/>
        <w:color w:val="404040"/>
      </w:rPr>
      <w:tcPr>
        <w:tcBorders>
          <w:bottom w:val="single" w:color="CACACA"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style>
  <w:style w:type="table" w:customStyle="1" w:styleId="66">
    <w:name w:val="Grid Table 1 Light - Accent 4"/>
    <w:basedOn w:val="12"/>
    <w:qFormat/>
    <w:uiPriority w:val="99"/>
    <w:pPr>
      <w:spacing w:after="0" w:line="240" w:lineRule="auto"/>
    </w:p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b/>
        <w:color w:val="404040"/>
      </w:rPr>
      <w:tcPr>
        <w:tcBorders>
          <w:bottom w:val="single" w:color="FFDA69"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style>
  <w:style w:type="table" w:customStyle="1" w:styleId="67">
    <w:name w:val="Grid Table 1 Light - Accent 5"/>
    <w:basedOn w:val="12"/>
    <w:qFormat/>
    <w:uiPriority w:val="99"/>
    <w:pPr>
      <w:spacing w:after="0" w:line="240" w:lineRule="auto"/>
    </w:pPr>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Pr>
    <w:tblStylePr w:type="firstRow">
      <w:rPr>
        <w:b/>
        <w:color w:val="404040"/>
      </w:rPr>
      <w:tcPr>
        <w:tcBorders>
          <w:bottom w:val="single" w:color="91ACDC"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style>
  <w:style w:type="table" w:customStyle="1" w:styleId="68">
    <w:name w:val="Grid Table 1 Light - Accent 6"/>
    <w:basedOn w:val="12"/>
    <w:qFormat/>
    <w:uiPriority w:val="99"/>
    <w:pPr>
      <w:spacing w:after="0" w:line="240" w:lineRule="auto"/>
    </w:p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b/>
        <w:color w:val="404040"/>
      </w:rPr>
      <w:tcPr>
        <w:tcBorders>
          <w:bottom w:val="single" w:color="AAD190"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style>
  <w:style w:type="table" w:customStyle="1" w:styleId="69">
    <w:name w:val="Grid Table 2"/>
    <w:basedOn w:val="1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0">
    <w:name w:val="Grid Table 2 - Accent 1"/>
    <w:basedOn w:val="12"/>
    <w:qFormat/>
    <w:uiPriority w:val="99"/>
    <w:pPr>
      <w:spacing w:after="0" w:line="240" w:lineRule="auto"/>
    </w:pPr>
    <w:tblPr>
      <w:tblBorders>
        <w:bottom w:val="single" w:color="68A3D8" w:themeColor="accent1" w:themeTint="EA" w:sz="4" w:space="0"/>
        <w:insideH w:val="single" w:color="68A3D8" w:themeColor="accent1" w:themeTint="EA" w:sz="4" w:space="0"/>
        <w:insideV w:val="single" w:color="68A3D8" w:themeColor="accent1" w:themeTint="EA" w:sz="4" w:space="0"/>
      </w:tblBorders>
    </w:tblPr>
    <w:tblStylePr w:type="firstRow">
      <w:rPr>
        <w:b/>
        <w:color w:val="404040"/>
      </w:rPr>
      <w:tcPr>
        <w:tcBorders>
          <w:top w:val="nil"/>
          <w:left w:val="nil"/>
          <w:bottom w:val="single" w:color="68A3D8" w:themeColor="accent1" w:themeTint="EA" w:sz="12" w:space="0"/>
          <w:right w:val="nil"/>
        </w:tcBorders>
        <w:shd w:val="clear" w:color="FFFFFF" w:fill="auto"/>
      </w:tcPr>
    </w:tblStylePr>
    <w:tblStylePr w:type="lastRow">
      <w:rPr>
        <w:b/>
        <w:color w:val="404040"/>
      </w:rPr>
      <w:tcPr>
        <w:tcBorders>
          <w:top w:val="single" w:color="68A3D8"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DEAF6" w:themeColor="accent1" w:themeTint="34" w:fill="DDEAF6" w:themeFill="accent1" w:themeFillTint="34"/>
      </w:tcPr>
    </w:tblStylePr>
    <w:tblStylePr w:type="band1Horz">
      <w:rPr>
        <w:rFonts w:ascii="Arial" w:hAnsi="Arial"/>
        <w:color w:val="404040"/>
        <w:sz w:val="22"/>
      </w:rPr>
      <w:tcPr>
        <w:shd w:val="clear" w:color="DDEAF6" w:themeColor="accent1" w:themeTint="34" w:fill="DDEAF6" w:themeFill="accent1" w:themeFillTint="34"/>
      </w:tcPr>
    </w:tblStylePr>
  </w:style>
  <w:style w:type="table" w:customStyle="1" w:styleId="71">
    <w:name w:val="Grid Table 2 - Accent 2"/>
    <w:basedOn w:val="12"/>
    <w:qFormat/>
    <w:uiPriority w:val="99"/>
    <w:pPr>
      <w:spacing w:after="0" w:line="240" w:lineRule="auto"/>
    </w:pPr>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cPr>
        <w:tcBorders>
          <w:top w:val="nil"/>
          <w:left w:val="nil"/>
          <w:bottom w:val="single" w:color="F4B285" w:themeColor="accent2" w:themeTint="97" w:sz="12" w:space="0"/>
          <w:right w:val="nil"/>
        </w:tcBorders>
        <w:shd w:val="clear" w:color="FFFFFF" w:fill="auto"/>
      </w:tcPr>
    </w:tblStylePr>
    <w:tblStylePr w:type="lastRow">
      <w:rPr>
        <w:b/>
        <w:color w:val="404040"/>
      </w:rPr>
      <w:tcPr>
        <w:tcBorders>
          <w:top w:val="single" w:color="F4B28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72">
    <w:name w:val="Grid Table 2 - Accent 3"/>
    <w:basedOn w:val="12"/>
    <w:qFormat/>
    <w:uiPriority w:val="99"/>
    <w:pPr>
      <w:spacing w:after="0" w:line="240" w:lineRule="auto"/>
    </w:pPr>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il"/>
          <w:left w:val="nil"/>
          <w:bottom w:val="single" w:color="A5A5A5" w:themeColor="accent3" w:themeTint="FE" w:sz="12" w:space="0"/>
          <w:right w:val="nil"/>
        </w:tcBorders>
        <w:shd w:val="clear" w:color="FFFFFF" w:fill="auto"/>
      </w:tcPr>
    </w:tblStylePr>
    <w:tblStylePr w:type="lastRow">
      <w:rPr>
        <w:b/>
        <w:color w:val="404040"/>
      </w:rPr>
      <w:tcPr>
        <w:tcBorders>
          <w:top w:val="single" w:color="A5A5A5"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73">
    <w:name w:val="Grid Table 2 - Accent 4"/>
    <w:basedOn w:val="12"/>
    <w:qFormat/>
    <w:uiPriority w:val="99"/>
    <w:pPr>
      <w:spacing w:after="0" w:line="240" w:lineRule="auto"/>
    </w:pPr>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cPr>
        <w:tcBorders>
          <w:top w:val="nil"/>
          <w:left w:val="nil"/>
          <w:bottom w:val="single" w:color="FFD864" w:themeColor="accent4" w:themeTint="9A" w:sz="12" w:space="0"/>
          <w:right w:val="nil"/>
        </w:tcBorders>
        <w:shd w:val="clear" w:color="FFFFFF" w:fill="auto"/>
      </w:tcPr>
    </w:tblStylePr>
    <w:tblStylePr w:type="lastRow">
      <w:rPr>
        <w:b/>
        <w:color w:val="404040"/>
      </w:rPr>
      <w:tcPr>
        <w:tcBorders>
          <w:top w:val="single" w:color="FFD864"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74">
    <w:name w:val="Grid Table 2 - Accent 5"/>
    <w:basedOn w:val="12"/>
    <w:qFormat/>
    <w:uiPriority w:val="99"/>
    <w:pPr>
      <w:spacing w:after="0" w:line="240" w:lineRule="auto"/>
    </w:pPr>
    <w:tblPr>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cPr>
        <w:tcBorders>
          <w:top w:val="nil"/>
          <w:left w:val="nil"/>
          <w:bottom w:val="single" w:color="4472C4" w:themeColor="accent5" w:sz="12" w:space="0"/>
          <w:right w:val="nil"/>
        </w:tcBorders>
        <w:shd w:val="clear" w:color="FFFFFF" w:fill="auto"/>
      </w:tcPr>
    </w:tblStylePr>
    <w:tblStylePr w:type="lastRow">
      <w:rPr>
        <w:b/>
        <w:color w:val="404040"/>
      </w:rPr>
      <w:tcPr>
        <w:tcBorders>
          <w:top w:val="single" w:color="4472C4"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cPr>
        <w:shd w:val="clear" w:color="D8E2F2" w:themeColor="accent5" w:themeTint="34" w:fill="D8E2F2" w:themeFill="accent5" w:themeFillTint="34"/>
      </w:tcPr>
    </w:tblStylePr>
  </w:style>
  <w:style w:type="table" w:customStyle="1" w:styleId="75">
    <w:name w:val="Grid Table 2 - Accent 6"/>
    <w:basedOn w:val="12"/>
    <w:qFormat/>
    <w:uiPriority w:val="99"/>
    <w:pPr>
      <w:spacing w:after="0" w:line="240" w:lineRule="auto"/>
    </w:pPr>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il"/>
          <w:left w:val="nil"/>
          <w:bottom w:val="single" w:color="70AD47" w:themeColor="accent6" w:sz="12" w:space="0"/>
          <w:right w:val="nil"/>
        </w:tcBorders>
        <w:shd w:val="clear" w:color="FFFFFF" w:fill="auto"/>
      </w:tcPr>
    </w:tblStylePr>
    <w:tblStylePr w:type="lastRow">
      <w:rPr>
        <w:b/>
        <w:color w:val="404040"/>
      </w:rPr>
      <w:tcPr>
        <w:tcBorders>
          <w:top w:val="single" w:color="70AD47"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76">
    <w:name w:val="Grid Table 3"/>
    <w:basedOn w:val="1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7">
    <w:name w:val="Grid Table 3 - Accent 1"/>
    <w:basedOn w:val="12"/>
    <w:qFormat/>
    <w:uiPriority w:val="99"/>
    <w:pPr>
      <w:spacing w:after="0" w:line="240" w:lineRule="auto"/>
    </w:pPr>
    <w:tblPr>
      <w:tblBorders>
        <w:bottom w:val="single" w:color="68A3D8" w:themeColor="accent1" w:themeTint="EA" w:sz="4" w:space="0"/>
        <w:insideH w:val="single" w:color="68A3D8" w:themeColor="accent1" w:themeTint="EA" w:sz="4" w:space="0"/>
        <w:insideV w:val="single" w:color="68A3D8"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DEAF6" w:themeColor="accent1" w:themeTint="34" w:fill="DDEAF6" w:themeFill="accent1" w:themeFillTint="34"/>
      </w:tcPr>
    </w:tblStylePr>
    <w:tblStylePr w:type="band1Horz">
      <w:rPr>
        <w:rFonts w:ascii="Arial" w:hAnsi="Arial"/>
        <w:color w:val="404040"/>
        <w:sz w:val="22"/>
      </w:rPr>
      <w:tcPr>
        <w:shd w:val="clear" w:color="DDEAF6" w:themeColor="accent1" w:themeTint="34" w:fill="DDEAF6" w:themeFill="accent1" w:themeFillTint="34"/>
      </w:tcPr>
    </w:tblStylePr>
  </w:style>
  <w:style w:type="table" w:customStyle="1" w:styleId="78">
    <w:name w:val="Grid Table 3 - Accent 2"/>
    <w:basedOn w:val="12"/>
    <w:qFormat/>
    <w:uiPriority w:val="99"/>
    <w:pPr>
      <w:spacing w:after="0" w:line="240" w:lineRule="auto"/>
    </w:pPr>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79">
    <w:name w:val="Grid Table 3 - Accent 3"/>
    <w:basedOn w:val="12"/>
    <w:qFormat/>
    <w:uiPriority w:val="99"/>
    <w:pPr>
      <w:spacing w:after="0" w:line="240" w:lineRule="auto"/>
    </w:pPr>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80">
    <w:name w:val="Grid Table 3 - Accent 4"/>
    <w:basedOn w:val="12"/>
    <w:qFormat/>
    <w:uiPriority w:val="99"/>
    <w:pPr>
      <w:spacing w:after="0" w:line="240" w:lineRule="auto"/>
    </w:pPr>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81">
    <w:name w:val="Grid Table 3 - Accent 5"/>
    <w:basedOn w:val="12"/>
    <w:qFormat/>
    <w:uiPriority w:val="99"/>
    <w:pPr>
      <w:spacing w:after="0" w:line="240" w:lineRule="auto"/>
    </w:pPr>
    <w:tblPr>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cPr>
        <w:shd w:val="clear" w:color="D8E2F2" w:themeColor="accent5" w:themeTint="34" w:fill="D8E2F2" w:themeFill="accent5" w:themeFillTint="34"/>
      </w:tcPr>
    </w:tblStylePr>
  </w:style>
  <w:style w:type="table" w:customStyle="1" w:styleId="82">
    <w:name w:val="Grid Table 3 - Accent 6"/>
    <w:basedOn w:val="12"/>
    <w:qFormat/>
    <w:uiPriority w:val="99"/>
    <w:pPr>
      <w:spacing w:after="0" w:line="240" w:lineRule="auto"/>
    </w:pPr>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83">
    <w:name w:val="Grid Table 4"/>
    <w:basedOn w:val="12"/>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4">
    <w:name w:val="Grid Table 4 - Accent 1"/>
    <w:basedOn w:val="12"/>
    <w:qFormat/>
    <w:uiPriority w:val="59"/>
    <w:pPr>
      <w:spacing w:after="0" w:line="240" w:lineRule="auto"/>
    </w:pPr>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firstRow">
      <w:rPr>
        <w:rFonts w:ascii="Arial" w:hAnsi="Arial"/>
        <w:b/>
        <w:color w:val="FFFFFF"/>
        <w:sz w:val="22"/>
      </w:rPr>
      <w:tcPr>
        <w:tcBorders>
          <w:top w:val="single" w:color="68A3D8" w:themeColor="accent1" w:themeTint="EA" w:sz="4" w:space="0"/>
          <w:left w:val="single" w:color="68A3D8" w:themeColor="accent1" w:themeTint="EA" w:sz="4" w:space="0"/>
          <w:bottom w:val="single" w:color="68A3D8" w:themeColor="accent1" w:themeTint="EA" w:sz="4" w:space="0"/>
          <w:right w:val="single" w:color="68A3D8" w:themeColor="accent1" w:themeTint="EA" w:sz="4" w:space="0"/>
        </w:tcBorders>
        <w:shd w:val="clear" w:color="68A3D8" w:themeColor="accent1" w:themeTint="EA" w:fill="68A3D8" w:themeFill="accent1" w:themeFillTint="EA"/>
      </w:tcPr>
    </w:tblStylePr>
    <w:tblStylePr w:type="lastRow">
      <w:rPr>
        <w:b/>
        <w:color w:val="404040"/>
      </w:rPr>
      <w:tcPr>
        <w:tcBorders>
          <w:top w:val="single" w:color="68A3D8"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EEBF6" w:themeColor="accent1" w:themeTint="32" w:fill="DEEBF6" w:themeFill="accent1" w:themeFillTint="32"/>
      </w:tcPr>
    </w:tblStylePr>
    <w:tblStylePr w:type="band1Horz">
      <w:rPr>
        <w:rFonts w:ascii="Arial" w:hAnsi="Arial"/>
        <w:color w:val="404040"/>
        <w:sz w:val="22"/>
      </w:rPr>
      <w:tcPr>
        <w:shd w:val="clear" w:color="DEEBF6" w:themeColor="accent1" w:themeTint="32" w:fill="DEEBF6" w:themeFill="accent1" w:themeFillTint="32"/>
      </w:tcPr>
    </w:tblStylePr>
  </w:style>
  <w:style w:type="table" w:customStyle="1" w:styleId="85">
    <w:name w:val="Grid Table 4 - Accent 2"/>
    <w:basedOn w:val="12"/>
    <w:qFormat/>
    <w:uiPriority w:val="59"/>
    <w:pPr>
      <w:spacing w:after="0" w:line="240" w:lineRule="auto"/>
    </w:p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firstRow">
      <w:rPr>
        <w:rFonts w:ascii="Arial" w:hAnsi="Arial"/>
        <w:b/>
        <w:color w:val="FFFFFF"/>
        <w:sz w:val="22"/>
      </w:rPr>
      <w:tcPr>
        <w:tc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cBorders>
        <w:shd w:val="clear" w:color="F4B285" w:themeColor="accent2" w:themeTint="97" w:fill="F4B285" w:themeFill="accent2" w:themeFillTint="97"/>
      </w:tcPr>
    </w:tblStylePr>
    <w:tblStylePr w:type="lastRow">
      <w:rPr>
        <w:b/>
        <w:color w:val="404040"/>
      </w:rPr>
      <w:tcPr>
        <w:tcBorders>
          <w:top w:val="single" w:color="F4B28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86">
    <w:name w:val="Grid Table 4 - Accent 3"/>
    <w:basedOn w:val="12"/>
    <w:qFormat/>
    <w:uiPriority w:val="59"/>
    <w:pPr>
      <w:spacing w:after="0" w:line="240" w:lineRule="auto"/>
    </w:p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firstRow">
      <w:rPr>
        <w:rFonts w:ascii="Arial" w:hAnsi="Arial"/>
        <w:b/>
        <w:color w:val="FFFFFF"/>
        <w:sz w:val="22"/>
      </w:rPr>
      <w:tcPr>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shd w:val="clear" w:color="A5A5A5" w:themeColor="accent3" w:themeTint="FE" w:fill="A5A5A5" w:themeFill="accent3" w:themeFillTint="FE"/>
      </w:tcPr>
    </w:tblStylePr>
    <w:tblStylePr w:type="lastRow">
      <w:rPr>
        <w:b/>
        <w:color w:val="404040"/>
      </w:rPr>
      <w:tcPr>
        <w:tcBorders>
          <w:top w:val="single" w:color="A5A5A5"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87">
    <w:name w:val="Grid Table 4 - Accent 4"/>
    <w:basedOn w:val="12"/>
    <w:qFormat/>
    <w:uiPriority w:val="59"/>
    <w:pPr>
      <w:spacing w:after="0" w:line="240" w:lineRule="auto"/>
    </w:p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insideV w:val="single" w:color="FFDB6E" w:themeColor="accent4" w:themeTint="90" w:sz="4" w:space="0"/>
      </w:tblBorders>
    </w:tblPr>
    <w:tblStylePr w:type="firstRow">
      <w:rPr>
        <w:rFonts w:ascii="Arial" w:hAnsi="Arial"/>
        <w:b/>
        <w:color w:val="FFFFFF"/>
        <w:sz w:val="22"/>
      </w:rPr>
      <w:tcPr>
        <w:tc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cBorders>
        <w:shd w:val="clear" w:color="FFD864" w:themeColor="accent4" w:themeTint="9A" w:fill="FFD864" w:themeFill="accent4" w:themeFillTint="9A"/>
      </w:tcPr>
    </w:tblStylePr>
    <w:tblStylePr w:type="lastRow">
      <w:rPr>
        <w:b/>
        <w:color w:val="404040"/>
      </w:rPr>
      <w:tcPr>
        <w:tcBorders>
          <w:top w:val="single" w:color="FFD864"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88">
    <w:name w:val="Grid Table 4 - Accent 5"/>
    <w:basedOn w:val="12"/>
    <w:qFormat/>
    <w:uiPriority w:val="59"/>
    <w:pPr>
      <w:spacing w:after="0" w:line="240" w:lineRule="auto"/>
    </w:pPr>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rFonts w:ascii="Arial" w:hAnsi="Arial"/>
        <w:b/>
        <w:color w:val="FFFFFF"/>
        <w:sz w:val="22"/>
      </w:r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4472C4" w:themeColor="accent5" w:fill="4472C4" w:themeFill="accent5"/>
      </w:tcPr>
    </w:tblStylePr>
    <w:tblStylePr w:type="lastRow">
      <w:rPr>
        <w:b/>
        <w:color w:val="404040"/>
      </w:rPr>
      <w:tcPr>
        <w:tcBorders>
          <w:top w:val="single" w:color="4472C4"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cPr>
        <w:shd w:val="clear" w:color="D8E2F2" w:themeColor="accent5" w:themeTint="34" w:fill="D8E2F2" w:themeFill="accent5" w:themeFillTint="34"/>
      </w:tcPr>
    </w:tblStylePr>
  </w:style>
  <w:style w:type="table" w:customStyle="1" w:styleId="89">
    <w:name w:val="Grid Table 4 - Accent 6"/>
    <w:basedOn w:val="12"/>
    <w:qFormat/>
    <w:uiPriority w:val="59"/>
    <w:pPr>
      <w:spacing w:after="0" w:line="240" w:lineRule="auto"/>
    </w:p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FFFFFF"/>
        <w:sz w:val="22"/>
      </w:r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themeColor="accent6" w:fill="70AD47" w:themeFill="accent6"/>
      </w:tcPr>
    </w:tblStylePr>
    <w:tblStylePr w:type="lastRow">
      <w:rPr>
        <w:b/>
        <w:color w:val="404040"/>
      </w:rPr>
      <w:tcPr>
        <w:tcBorders>
          <w:top w:val="single" w:color="70AD47"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90">
    <w:name w:val="Grid Table 5 Dark"/>
    <w:basedOn w:val="1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91">
    <w:name w:val="Grid Table 5 Dark- Accent 1"/>
    <w:basedOn w:val="1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5B9BD5" w:themeColor="accent1" w:fill="5B9BD5" w:themeFill="accent1"/>
      </w:tcPr>
    </w:tblStylePr>
    <w:tblStylePr w:type="lastRow">
      <w:rPr>
        <w:rFonts w:ascii="Arial" w:hAnsi="Arial"/>
        <w:b/>
        <w:color w:val="FFFFFF"/>
        <w:sz w:val="22"/>
      </w:rPr>
      <w:tcPr>
        <w:tcBorders>
          <w:top w:val="single" w:color="FFFFFF" w:themeColor="light1" w:sz="4" w:space="0"/>
        </w:tcBorders>
        <w:shd w:val="clear" w:color="5B9BD5" w:themeColor="accent1" w:fill="5B9BD5" w:themeFill="accent1"/>
      </w:tcPr>
    </w:tblStylePr>
    <w:tblStylePr w:type="firstCol">
      <w:rPr>
        <w:rFonts w:ascii="Arial" w:hAnsi="Arial"/>
        <w:b/>
        <w:color w:val="FFFFFF"/>
        <w:sz w:val="22"/>
      </w:rPr>
      <w:tcPr>
        <w:shd w:val="clear" w:color="5B9BD5" w:themeColor="accent1" w:fill="5B9BD5" w:themeFill="accent1"/>
      </w:tcPr>
    </w:tblStylePr>
    <w:tblStylePr w:type="lastCol">
      <w:rPr>
        <w:rFonts w:ascii="Arial" w:hAnsi="Arial"/>
        <w:b/>
        <w:color w:val="FFFFFF"/>
        <w:sz w:val="22"/>
      </w:rPr>
      <w:tcPr>
        <w:shd w:val="clear" w:color="5B9BD5" w:themeColor="accent1" w:fill="5B9BD5" w:themeFill="accent1"/>
      </w:tcPr>
    </w:tblStylePr>
    <w:tblStylePr w:type="band1Vert">
      <w:tcPr>
        <w:shd w:val="clear" w:color="B3D1EB" w:themeColor="accent1" w:themeTint="75" w:fill="B3D1EB" w:themeFill="accent1" w:themeFillTint="75"/>
      </w:tcPr>
    </w:tblStylePr>
    <w:tblStylePr w:type="band1Horz">
      <w:tcPr>
        <w:shd w:val="clear" w:color="B3D1EB" w:themeColor="accent1" w:themeTint="75" w:fill="B3D1EB" w:themeFill="accent1" w:themeFillTint="75"/>
      </w:tcPr>
    </w:tblStylePr>
  </w:style>
  <w:style w:type="table" w:customStyle="1" w:styleId="92">
    <w:name w:val="Grid Table 5 Dark - Accent 2"/>
    <w:basedOn w:val="1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tcBorders>
          <w:top w:val="single" w:color="FFFFFF" w:themeColor="light1" w:sz="4" w:space="0"/>
        </w:tcBorders>
        <w:shd w:val="clear" w:color="ED7D31" w:themeColor="accent2" w:fill="ED7D31" w:themeFill="accent2"/>
      </w:tcPr>
    </w:tblStylePr>
    <w:tblStylePr w:type="firstCol">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band1Vert">
      <w:tcPr>
        <w:shd w:val="clear" w:color="F6C3A0" w:themeColor="accent2" w:themeTint="75" w:fill="F6C3A0" w:themeFill="accent2" w:themeFillTint="75"/>
      </w:tcPr>
    </w:tblStylePr>
    <w:tblStylePr w:type="band1Horz">
      <w:tcPr>
        <w:shd w:val="clear" w:color="F6C3A0" w:themeColor="accent2" w:themeTint="75" w:fill="F6C3A0" w:themeFill="accent2" w:themeFillTint="75"/>
      </w:tcPr>
    </w:tblStylePr>
  </w:style>
  <w:style w:type="table" w:customStyle="1" w:styleId="93">
    <w:name w:val="Grid Table 5 Dark - Accent 3"/>
    <w:basedOn w:val="1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tcBorders>
          <w:top w:val="single" w:color="FFFFFF" w:themeColor="light1" w:sz="4" w:space="0"/>
        </w:tcBorders>
        <w:shd w:val="clear" w:color="A5A5A5" w:themeColor="accent3" w:fill="A5A5A5" w:themeFill="accent3"/>
      </w:tcPr>
    </w:tblStylePr>
    <w:tblStylePr w:type="firstCol">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band1Vert">
      <w:tcPr>
        <w:shd w:val="clear" w:color="D5D5D5" w:themeColor="accent3" w:themeTint="75" w:fill="D5D5D5" w:themeFill="accent3" w:themeFillTint="75"/>
      </w:tcPr>
    </w:tblStylePr>
    <w:tblStylePr w:type="band1Horz">
      <w:tcPr>
        <w:shd w:val="clear" w:color="D5D5D5" w:themeColor="accent3" w:themeTint="75" w:fill="D5D5D5" w:themeFill="accent3" w:themeFillTint="75"/>
      </w:tcPr>
    </w:tblStylePr>
  </w:style>
  <w:style w:type="table" w:customStyle="1" w:styleId="94">
    <w:name w:val="Grid Table 5 Dark- Accent 4"/>
    <w:basedOn w:val="1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tcBorders>
          <w:top w:val="single" w:color="FFFFFF" w:themeColor="light1" w:sz="4" w:space="0"/>
        </w:tcBorders>
        <w:shd w:val="clear" w:color="FFC000" w:themeColor="accent4" w:fill="FFC000" w:themeFill="accent4"/>
      </w:tcPr>
    </w:tblStylePr>
    <w:tblStylePr w:type="firstCol">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band1Vert">
      <w:tcPr>
        <w:shd w:val="clear" w:color="FEE289" w:themeColor="accent4" w:themeTint="75" w:fill="FEE289" w:themeFill="accent4" w:themeFillTint="75"/>
      </w:tcPr>
    </w:tblStylePr>
    <w:tblStylePr w:type="band1Horz">
      <w:tcPr>
        <w:shd w:val="clear" w:color="FEE289" w:themeColor="accent4" w:themeTint="75" w:fill="FEE289" w:themeFill="accent4" w:themeFillTint="75"/>
      </w:tcPr>
    </w:tblStylePr>
  </w:style>
  <w:style w:type="table" w:customStyle="1" w:styleId="95">
    <w:name w:val="Grid Table 5 Dark - Accent 5"/>
    <w:basedOn w:val="1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472C4" w:themeColor="accent5" w:fill="4472C4" w:themeFill="accent5"/>
      </w:tcPr>
    </w:tblStylePr>
    <w:tblStylePr w:type="lastRow">
      <w:rPr>
        <w:rFonts w:ascii="Arial" w:hAnsi="Arial"/>
        <w:b/>
        <w:color w:val="FFFFFF"/>
        <w:sz w:val="22"/>
      </w:rPr>
      <w:tcPr>
        <w:tcBorders>
          <w:top w:val="single" w:color="FFFFFF" w:themeColor="light1" w:sz="4" w:space="0"/>
        </w:tcBorders>
        <w:shd w:val="clear" w:color="4472C4" w:themeColor="accent5" w:fill="4472C4" w:themeFill="accent5"/>
      </w:tcPr>
    </w:tblStylePr>
    <w:tblStylePr w:type="firstCol">
      <w:rPr>
        <w:rFonts w:ascii="Arial" w:hAnsi="Arial"/>
        <w:b/>
        <w:color w:val="FFFFFF"/>
        <w:sz w:val="22"/>
      </w:rPr>
      <w:tcPr>
        <w:shd w:val="clear" w:color="4472C4" w:themeColor="accent5" w:fill="4472C4" w:themeFill="accent5"/>
      </w:tcPr>
    </w:tblStylePr>
    <w:tblStylePr w:type="lastCol">
      <w:rPr>
        <w:rFonts w:ascii="Arial" w:hAnsi="Arial"/>
        <w:b/>
        <w:color w:val="FFFFFF"/>
        <w:sz w:val="22"/>
      </w:rPr>
      <w:tcPr>
        <w:shd w:val="clear" w:color="4472C4" w:themeColor="accent5" w:fill="4472C4" w:themeFill="accent5"/>
      </w:tcPr>
    </w:tblStylePr>
    <w:tblStylePr w:type="band1Vert">
      <w:tcPr>
        <w:shd w:val="clear" w:color="A9BEE3" w:themeColor="accent5" w:themeTint="75" w:fill="A9BEE3" w:themeFill="accent5" w:themeFillTint="75"/>
      </w:tcPr>
    </w:tblStylePr>
    <w:tblStylePr w:type="band1Horz">
      <w:tcPr>
        <w:shd w:val="clear" w:color="A9BEE3" w:themeColor="accent5" w:themeTint="75" w:fill="A9BEE3" w:themeFill="accent5" w:themeFillTint="75"/>
      </w:tcPr>
    </w:tblStylePr>
  </w:style>
  <w:style w:type="table" w:customStyle="1" w:styleId="96">
    <w:name w:val="Grid Table 5 Dark - Accent 6"/>
    <w:basedOn w:val="1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tcBorders>
          <w:top w:val="single" w:color="FFFFFF" w:themeColor="light1" w:sz="4" w:space="0"/>
        </w:tcBorders>
        <w:shd w:val="clear" w:color="70AD47" w:themeColor="accent6" w:fill="70AD47" w:themeFill="accent6"/>
      </w:tcPr>
    </w:tblStylePr>
    <w:tblStylePr w:type="firstCol">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band1Vert">
      <w:tcPr>
        <w:shd w:val="clear" w:color="BCDBA8" w:themeColor="accent6" w:themeTint="75" w:fill="BCDBA8" w:themeFill="accent6" w:themeFillTint="75"/>
      </w:tcPr>
    </w:tblStylePr>
    <w:tblStylePr w:type="band1Horz">
      <w:tcPr>
        <w:shd w:val="clear" w:color="BCDBA8" w:themeColor="accent6" w:themeTint="75" w:fill="BCDBA8" w:themeFill="accent6" w:themeFillTint="75"/>
      </w:tcPr>
    </w:tblStylePr>
  </w:style>
  <w:style w:type="table" w:customStyle="1" w:styleId="97">
    <w:name w:val="Grid Table 6 Colorful"/>
    <w:basedOn w:val="12"/>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98">
    <w:name w:val="Grid Table 6 Colorful - Accent 1"/>
    <w:basedOn w:val="12"/>
    <w:qFormat/>
    <w:uiPriority w:val="99"/>
    <w:pPr>
      <w:spacing w:after="0" w:line="240" w:lineRule="auto"/>
    </w:pPr>
    <w:tblPr>
      <w:tblBorders>
        <w:top w:val="single" w:color="ACCCE9" w:themeColor="accent1" w:themeTint="80" w:sz="4" w:space="0"/>
        <w:left w:val="single" w:color="ACCCE9" w:themeColor="accent1" w:themeTint="80" w:sz="4" w:space="0"/>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Pr>
    <w:tblStylePr w:type="firstRow">
      <w:rPr>
        <w:b/>
        <w:color w:val="ADCDEA" w:themeColor="accent1" w:themeTint="80"/>
        <w14:textFill>
          <w14:solidFill>
            <w14:schemeClr w14:val="accent1">
              <w14:lumMod w14:val="50000"/>
              <w14:lumOff w14:val="50000"/>
            </w14:schemeClr>
          </w14:solidFill>
        </w14:textFill>
      </w:rPr>
      <w:tcPr>
        <w:tcBorders>
          <w:bottom w:val="single" w:color="ACCCE9" w:themeColor="accent1" w:themeTint="80" w:sz="12" w:space="0"/>
        </w:tcBorders>
      </w:tcPr>
    </w:tblStylePr>
    <w:tblStylePr w:type="lastRow">
      <w:rPr>
        <w:b/>
        <w:color w:val="ADCDEA" w:themeColor="accent1" w:themeTint="80"/>
        <w14:textFill>
          <w14:solidFill>
            <w14:schemeClr w14:val="accent1">
              <w14:lumMod w14:val="50000"/>
              <w14:lumOff w14:val="50000"/>
            </w14:schemeClr>
          </w14:solidFill>
        </w14:textFill>
      </w:rPr>
    </w:tblStylePr>
    <w:tblStylePr w:type="firstCol">
      <w:rPr>
        <w:b/>
        <w:color w:val="ADCDEA" w:themeColor="accent1" w:themeTint="80"/>
        <w14:textFill>
          <w14:solidFill>
            <w14:schemeClr w14:val="accent1">
              <w14:lumMod w14:val="50000"/>
              <w14:lumOff w14:val="50000"/>
            </w14:schemeClr>
          </w14:solidFill>
        </w14:textFill>
      </w:rPr>
    </w:tblStylePr>
    <w:tblStylePr w:type="lastCol">
      <w:rPr>
        <w:b/>
        <w:color w:val="ADCDEA" w:themeColor="accent1" w:themeTint="80"/>
        <w14:textFill>
          <w14:solidFill>
            <w14:schemeClr w14:val="accent1">
              <w14:lumMod w14:val="50000"/>
              <w14:lumOff w14:val="50000"/>
            </w14:schemeClr>
          </w14:solidFill>
        </w14:textFill>
      </w:rPr>
    </w:tblStylePr>
    <w:tblStylePr w:type="band1Vert">
      <w:tcPr>
        <w:shd w:val="clear" w:color="DDEAF6" w:themeColor="accent1" w:themeTint="34" w:fill="DDEAF6" w:themeFill="accent1" w:themeFillTint="34"/>
      </w:tcPr>
    </w:tblStylePr>
    <w:tblStylePr w:type="band1Horz">
      <w:rPr>
        <w:rFonts w:ascii="Arial" w:hAnsi="Arial"/>
        <w:color w:val="ADCDEA" w:themeColor="accent1" w:themeTint="80"/>
        <w:sz w:val="22"/>
        <w14:textFill>
          <w14:solidFill>
            <w14:schemeClr w14:val="accent1">
              <w14:lumMod w14:val="50000"/>
              <w14:lumOff w14:val="50000"/>
            </w14:schemeClr>
          </w14:solidFill>
        </w14:textFill>
      </w:rPr>
      <w:tcPr>
        <w:shd w:val="clear" w:color="DDEAF6" w:themeColor="accent1" w:themeTint="34"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StylePr>
  </w:style>
  <w:style w:type="table" w:customStyle="1" w:styleId="99">
    <w:name w:val="Grid Table 6 Colorful - Accent 2"/>
    <w:basedOn w:val="12"/>
    <w:qFormat/>
    <w:uiPriority w:val="99"/>
    <w:pPr>
      <w:spacing w:after="0" w:line="240" w:lineRule="auto"/>
    </w:p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12" w:space="0"/>
        </w:tcBorders>
      </w:tcPr>
    </w:tblStylePr>
    <w:tblStylePr w:type="lastRow">
      <w:rPr>
        <w:b/>
        <w:color w:val="F4B285" w:themeColor="accent2" w:themeTint="96"/>
        <w14:textFill>
          <w14:solidFill>
            <w14:schemeClr w14:val="accent2">
              <w14:lumMod w14:val="59000"/>
              <w14:lumOff w14:val="41000"/>
            </w14:schemeClr>
          </w14:solidFill>
        </w14:textFill>
      </w:r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BE5D6" w:themeColor="accent2" w:themeTint="32" w:fill="FBE5D6" w:themeFill="accent2" w:themeFillTint="32"/>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00">
    <w:name w:val="Grid Table 6 Colorful - Accent 3"/>
    <w:basedOn w:val="12"/>
    <w:qFormat/>
    <w:uiPriority w:val="99"/>
    <w:pPr>
      <w:spacing w:after="0" w:line="240" w:lineRule="auto"/>
    </w:pPr>
    <w:tblPr>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Tint="FF"/>
        <w14:textFill>
          <w14:solidFill>
            <w14:schemeClr w14:val="accent3">
              <w14:lumMod w14:val="100000"/>
              <w14:lumOff w14:val="0"/>
            </w14:schemeClr>
          </w14:solidFill>
        </w14:textFill>
      </w:rPr>
      <w:tcPr>
        <w:tcBorders>
          <w:bottom w:val="single" w:color="A5A5A5" w:themeColor="accent3" w:themeTint="FE" w:sz="12" w:space="0"/>
        </w:tcBorders>
      </w:tcPr>
    </w:tblStylePr>
    <w:tblStylePr w:type="lastRow">
      <w:rPr>
        <w:b/>
        <w:color w:val="A5A5A5" w:themeColor="accent3" w:themeTint="FF"/>
        <w14:textFill>
          <w14:solidFill>
            <w14:schemeClr w14:val="accent3">
              <w14:lumMod w14:val="100000"/>
              <w14:lumOff w14:val="0"/>
            </w14:schemeClr>
          </w14:solidFill>
        </w14:textFill>
      </w:rPr>
    </w:tblStylePr>
    <w:tblStylePr w:type="firstCol">
      <w:rPr>
        <w:b/>
        <w:color w:val="A5A5A5" w:themeColor="accent3" w:themeTint="FF"/>
        <w14:textFill>
          <w14:solidFill>
            <w14:schemeClr w14:val="accent3">
              <w14:lumMod w14:val="100000"/>
              <w14:lumOff w14:val="0"/>
            </w14:schemeClr>
          </w14:solidFill>
        </w14:textFill>
      </w:rPr>
    </w:tblStylePr>
    <w:tblStylePr w:type="lastCol">
      <w:rPr>
        <w:b/>
        <w:color w:val="A5A5A5" w:themeColor="accent3" w:themeTint="FF"/>
        <w14:textFill>
          <w14:solidFill>
            <w14:schemeClr w14:val="accent3">
              <w14:lumMod w14:val="100000"/>
              <w14:lumOff w14:val="0"/>
            </w14:schemeClr>
          </w14:solidFill>
        </w14:textFill>
      </w:rPr>
    </w:tblStylePr>
    <w:tblStylePr w:type="band1Vert">
      <w:tcPr>
        <w:shd w:val="clear" w:color="ECECEC" w:themeColor="accent3" w:themeTint="34" w:fill="ECECEC" w:themeFill="accent3" w:themeFillTint="34"/>
      </w:tcPr>
    </w:tblStylePr>
    <w:tblStylePr w:type="band1Horz">
      <w:rPr>
        <w:rFonts w:ascii="Arial" w:hAnsi="Arial"/>
        <w:color w:val="A5A5A5" w:themeColor="accent3" w:themeTint="FF"/>
        <w:sz w:val="22"/>
        <w14:textFill>
          <w14:solidFill>
            <w14:schemeClr w14:val="accent3">
              <w14:lumMod w14:val="100000"/>
              <w14:lumOff w14:val="0"/>
            </w14:schemeClr>
          </w14:solidFill>
        </w14:textFill>
      </w:rPr>
      <w:tcPr>
        <w:shd w:val="clear" w:color="ECECEC" w:themeColor="accent3" w:themeTint="34" w:fill="ECECEC" w:themeFill="accent3" w:themeFillTint="34"/>
      </w:tcPr>
    </w:tblStylePr>
    <w:tblStylePr w:type="band2Horz">
      <w:rPr>
        <w:rFonts w:ascii="Arial" w:hAnsi="Arial"/>
        <w:color w:val="A5A5A5" w:themeColor="accent3" w:themeTint="FF"/>
        <w:sz w:val="22"/>
        <w14:textFill>
          <w14:solidFill>
            <w14:schemeClr w14:val="accent3">
              <w14:lumMod w14:val="100000"/>
              <w14:lumOff w14:val="0"/>
            </w14:schemeClr>
          </w14:solidFill>
        </w14:textFill>
      </w:rPr>
    </w:tblStylePr>
  </w:style>
  <w:style w:type="table" w:customStyle="1" w:styleId="101">
    <w:name w:val="Grid Table 6 Colorful - Accent 4"/>
    <w:basedOn w:val="12"/>
    <w:qFormat/>
    <w:uiPriority w:val="99"/>
    <w:pPr>
      <w:spacing w:after="0" w:line="240" w:lineRule="auto"/>
    </w:p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12" w:space="0"/>
        </w:tcBorders>
      </w:tcPr>
    </w:tblStylePr>
    <w:tblStylePr w:type="lastRow">
      <w:rPr>
        <w:b/>
        <w:color w:val="FFD966" w:themeColor="accent4" w:themeTint="99"/>
        <w14:textFill>
          <w14:solidFill>
            <w14:schemeClr w14:val="accent4">
              <w14:lumMod w14:val="60000"/>
              <w14:lumOff w14:val="40000"/>
            </w14:schemeClr>
          </w14:solidFill>
        </w14:textFill>
      </w:r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EF2CA" w:themeColor="accent4" w:themeTint="34" w:fill="FEF2CA" w:themeFill="accent4" w:themeFillTint="34"/>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02">
    <w:name w:val="Grid Table 6 Colorful - Accent 5"/>
    <w:basedOn w:val="12"/>
    <w:qFormat/>
    <w:uiPriority w:val="99"/>
    <w:pPr>
      <w:spacing w:after="0" w:line="240" w:lineRule="auto"/>
    </w:pPr>
    <w:tblPr>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firstRow">
      <w:rPr>
        <w:b/>
        <w:color w:val="254174" w:themeColor="accent5" w:themeShade="94"/>
      </w:rPr>
      <w:tcPr>
        <w:tcBorders>
          <w:bottom w:val="single" w:color="4472C4" w:themeColor="accent5" w:sz="12" w:space="0"/>
        </w:tcBorders>
      </w:tcPr>
    </w:tblStylePr>
    <w:tblStylePr w:type="lastRow">
      <w:rPr>
        <w:b/>
        <w:color w:val="254174" w:themeColor="accent5" w:themeShade="94"/>
      </w:rPr>
    </w:tblStylePr>
    <w:tblStylePr w:type="firstCol">
      <w:rPr>
        <w:b/>
        <w:color w:val="254174" w:themeColor="accent5" w:themeShade="94"/>
      </w:rPr>
    </w:tblStylePr>
    <w:tblStylePr w:type="lastCol">
      <w:rPr>
        <w:b/>
        <w:color w:val="254174" w:themeColor="accent5" w:themeShade="94"/>
      </w:rPr>
    </w:tblStylePr>
    <w:tblStylePr w:type="band1Vert">
      <w:tcPr>
        <w:shd w:val="clear" w:color="D8E2F2" w:themeColor="accent5" w:themeTint="34" w:fill="D8E2F2" w:themeFill="accent5" w:themeFillTint="34"/>
      </w:tcPr>
    </w:tblStylePr>
    <w:tblStylePr w:type="band1Horz">
      <w:rPr>
        <w:rFonts w:ascii="Arial" w:hAnsi="Arial"/>
        <w:color w:val="254174" w:themeColor="accent5" w:themeShade="94"/>
        <w:sz w:val="22"/>
      </w:rPr>
      <w:tcPr>
        <w:shd w:val="clear" w:color="D8E2F2" w:themeColor="accent5" w:themeTint="34" w:fill="D8E2F2" w:themeFill="accent5" w:themeFillTint="34"/>
      </w:tcPr>
    </w:tblStylePr>
    <w:tblStylePr w:type="band2Horz">
      <w:rPr>
        <w:rFonts w:ascii="Arial" w:hAnsi="Arial"/>
        <w:color w:val="254174" w:themeColor="accent5" w:themeShade="94"/>
        <w:sz w:val="22"/>
      </w:rPr>
    </w:tblStylePr>
  </w:style>
  <w:style w:type="table" w:customStyle="1" w:styleId="103">
    <w:name w:val="Grid Table 6 Colorful - Accent 6"/>
    <w:basedOn w:val="12"/>
    <w:qFormat/>
    <w:uiPriority w:val="99"/>
    <w:pPr>
      <w:spacing w:after="0" w:line="240" w:lineRule="auto"/>
    </w:pPr>
    <w:tblPr>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b/>
        <w:color w:val="254174" w:themeColor="accent5" w:themeShade="94"/>
      </w:rPr>
      <w:tcPr>
        <w:tcBorders>
          <w:bottom w:val="single" w:color="70AD47" w:themeColor="accent6" w:sz="12" w:space="0"/>
        </w:tcBorders>
      </w:tcPr>
    </w:tblStylePr>
    <w:tblStylePr w:type="lastRow">
      <w:rPr>
        <w:b/>
        <w:color w:val="254174" w:themeColor="accent5" w:themeShade="94"/>
      </w:rPr>
    </w:tblStylePr>
    <w:tblStylePr w:type="firstCol">
      <w:rPr>
        <w:b/>
        <w:color w:val="254174" w:themeColor="accent5" w:themeShade="94"/>
      </w:rPr>
    </w:tblStylePr>
    <w:tblStylePr w:type="lastCol">
      <w:rPr>
        <w:b/>
        <w:color w:val="254174" w:themeColor="accent5" w:themeShade="94"/>
      </w:rPr>
    </w:tblStylePr>
    <w:tblStylePr w:type="band1Vert">
      <w:tcPr>
        <w:shd w:val="clear" w:color="E1EFD8" w:themeColor="accent6" w:themeTint="34" w:fill="E1EFD8" w:themeFill="accent6" w:themeFillTint="34"/>
      </w:tcPr>
    </w:tblStylePr>
    <w:tblStylePr w:type="band1Horz">
      <w:rPr>
        <w:rFonts w:ascii="Arial" w:hAnsi="Arial"/>
        <w:color w:val="254174" w:themeColor="accent5" w:themeShade="94"/>
        <w:sz w:val="22"/>
      </w:rPr>
      <w:tcPr>
        <w:shd w:val="clear" w:color="E1EFD8" w:themeColor="accent6" w:themeTint="34" w:fill="E1EFD8" w:themeFill="accent6" w:themeFillTint="34"/>
      </w:tcPr>
    </w:tblStylePr>
    <w:tblStylePr w:type="band2Horz">
      <w:rPr>
        <w:rFonts w:ascii="Arial" w:hAnsi="Arial"/>
        <w:color w:val="254174" w:themeColor="accent5" w:themeShade="94"/>
        <w:sz w:val="22"/>
      </w:rPr>
    </w:tblStylePr>
  </w:style>
  <w:style w:type="table" w:customStyle="1" w:styleId="104">
    <w:name w:val="Grid Table 7 Colorful"/>
    <w:basedOn w:val="12"/>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5">
    <w:name w:val="Grid Table 7 Colorful - Accent 1"/>
    <w:basedOn w:val="12"/>
    <w:qFormat/>
    <w:uiPriority w:val="99"/>
    <w:pPr>
      <w:spacing w:after="0" w:line="240" w:lineRule="auto"/>
    </w:pPr>
    <w:tblPr>
      <w:tblBorders>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Pr>
    <w:tblStylePr w:type="firstRow">
      <w:rPr>
        <w:rFonts w:ascii="Arial" w:hAnsi="Arial"/>
        <w:b/>
        <w:color w:val="ADCDEA" w:themeColor="accent1" w:themeTint="80"/>
        <w:sz w:val="22"/>
        <w14:textFill>
          <w14:solidFill>
            <w14:schemeClr w14:val="accent1">
              <w14:lumMod w14:val="50000"/>
              <w14:lumOff w14:val="50000"/>
            </w14:schemeClr>
          </w14:solidFill>
        </w14:textFill>
      </w:rPr>
      <w:tcPr>
        <w:tcBorders>
          <w:top w:val="nil"/>
          <w:left w:val="nil"/>
          <w:bottom w:val="single" w:color="ACCCE9" w:themeColor="accent1" w:themeTint="80" w:sz="4" w:space="0"/>
          <w:right w:val="nil"/>
        </w:tcBorders>
        <w:shd w:val="clear" w:color="FFFFFF" w:themeColor="light1" w:fill="FFFFFF" w:themeFill="light1"/>
      </w:tcPr>
    </w:tblStylePr>
    <w:tblStylePr w:type="lastRow">
      <w:rPr>
        <w:rFonts w:ascii="Arial" w:hAnsi="Arial"/>
        <w:b/>
        <w:color w:val="ADCDEA" w:themeColor="accent1" w:themeTint="80"/>
        <w:sz w:val="22"/>
        <w14:textFill>
          <w14:solidFill>
            <w14:schemeClr w14:val="accent1">
              <w14:lumMod w14:val="50000"/>
              <w14:lumOff w14:val="50000"/>
            </w14:schemeClr>
          </w14:solidFill>
        </w14:textFill>
      </w:rPr>
      <w:tcPr>
        <w:tcBorders>
          <w:top w:val="single" w:color="ACCCE9"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DCDEA" w:themeColor="accent1" w:themeTint="80"/>
        <w:sz w:val="22"/>
        <w14:textFill>
          <w14:solidFill>
            <w14:schemeClr w14:val="accent1">
              <w14:lumMod w14:val="50000"/>
              <w14:lumOff w14:val="50000"/>
            </w14:schemeClr>
          </w14:solidFill>
        </w14:textFill>
      </w:rPr>
      <w:tcPr>
        <w:tcBorders>
          <w:top w:val="nil"/>
          <w:left w:val="nil"/>
          <w:bottom w:val="nil"/>
          <w:right w:val="single" w:color="ACCCE9" w:themeColor="accent1" w:themeTint="80" w:sz="4" w:space="0"/>
        </w:tcBorders>
        <w:shd w:val="clear" w:color="FFFFFF" w:fill="auto"/>
      </w:tcPr>
    </w:tblStylePr>
    <w:tblStylePr w:type="lastCol">
      <w:rPr>
        <w:rFonts w:ascii="Arial" w:hAnsi="Arial"/>
        <w:i/>
        <w:color w:val="ADCDEA" w:themeColor="accent1" w:themeTint="80"/>
        <w:sz w:val="22"/>
        <w14:textFill>
          <w14:solidFill>
            <w14:schemeClr w14:val="accent1">
              <w14:lumMod w14:val="50000"/>
              <w14:lumOff w14:val="50000"/>
            </w14:schemeClr>
          </w14:solidFill>
        </w14:textFill>
      </w:rPr>
      <w:tcPr>
        <w:tcBorders>
          <w:top w:val="nil"/>
          <w:left w:val="single" w:color="ACCCE9" w:themeColor="accent1" w:themeTint="80" w:sz="4" w:space="0"/>
          <w:bottom w:val="nil"/>
          <w:right w:val="nil"/>
        </w:tcBorders>
        <w:shd w:val="clear" w:color="FFFFFF" w:fill="auto"/>
      </w:tcPr>
    </w:tblStylePr>
    <w:tblStylePr w:type="band1Vert">
      <w:tcPr>
        <w:shd w:val="clear" w:color="DDEAF6" w:themeColor="accent1" w:themeTint="34" w:fill="DDEAF6" w:themeFill="accent1" w:themeFillTint="34"/>
      </w:tcPr>
    </w:tblStylePr>
    <w:tblStylePr w:type="band1Horz">
      <w:rPr>
        <w:rFonts w:ascii="Arial" w:hAnsi="Arial"/>
        <w:color w:val="ADCDEA" w:themeColor="accent1" w:themeTint="80"/>
        <w:sz w:val="22"/>
        <w14:textFill>
          <w14:solidFill>
            <w14:schemeClr w14:val="accent1">
              <w14:lumMod w14:val="50000"/>
              <w14:lumOff w14:val="50000"/>
            </w14:schemeClr>
          </w14:solidFill>
        </w14:textFill>
      </w:rPr>
      <w:tcPr>
        <w:shd w:val="clear" w:color="DDEAF6" w:themeColor="accent1" w:themeTint="34"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StylePr>
  </w:style>
  <w:style w:type="table" w:customStyle="1" w:styleId="106">
    <w:name w:val="Grid Table 7 Colorful - Accent 2"/>
    <w:basedOn w:val="12"/>
    <w:qFormat/>
    <w:uiPriority w:val="99"/>
    <w:pPr>
      <w:spacing w:after="0" w:line="240" w:lineRule="auto"/>
    </w:pPr>
    <w:tblPr>
      <w:tblBorders>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rFonts w:ascii="Arial" w:hAnsi="Arial"/>
        <w:b/>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b/>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BE5D6" w:themeColor="accent2" w:themeTint="32" w:fill="FBE5D6" w:themeFill="accent2" w:themeFillTint="32"/>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07">
    <w:name w:val="Grid Table 7 Colorful - Accent 3"/>
    <w:basedOn w:val="12"/>
    <w:qFormat/>
    <w:uiPriority w:val="99"/>
    <w:pPr>
      <w:spacing w:after="0" w:line="240" w:lineRule="auto"/>
    </w:pPr>
    <w:tblPr>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rFonts w:ascii="Arial" w:hAnsi="Arial"/>
        <w:b/>
        <w:color w:val="A5A5A5" w:themeColor="accent3" w:themeTint="FF"/>
        <w:sz w:val="22"/>
        <w14:textFill>
          <w14:solidFill>
            <w14:schemeClr w14:val="accent3">
              <w14:lumMod w14:val="100000"/>
              <w14:lumOff w14:val="0"/>
            </w14:schemeClr>
          </w14:solidFill>
        </w14:textFill>
      </w:rPr>
      <w:tcPr>
        <w:tcBorders>
          <w:top w:val="nil"/>
          <w:left w:val="nil"/>
          <w:bottom w:val="single" w:color="A5A5A5" w:themeColor="accent3" w:themeTint="FE" w:sz="4" w:space="0"/>
          <w:right w:val="nil"/>
        </w:tcBorders>
        <w:shd w:val="clear" w:color="FFFFFF" w:themeColor="light1" w:fill="FFFFFF" w:themeFill="light1"/>
      </w:tcPr>
    </w:tblStylePr>
    <w:tblStylePr w:type="lastRow">
      <w:rPr>
        <w:rFonts w:ascii="Arial" w:hAnsi="Arial"/>
        <w:b/>
        <w:color w:val="A5A5A5" w:themeColor="accent3" w:themeTint="FF"/>
        <w:sz w:val="22"/>
        <w14:textFill>
          <w14:solidFill>
            <w14:schemeClr w14:val="accent3">
              <w14:lumMod w14:val="100000"/>
              <w14:lumOff w14:val="0"/>
            </w14:schemeClr>
          </w14:solidFill>
        </w14:textFill>
      </w:rPr>
      <w:tcPr>
        <w:tcBorders>
          <w:top w:val="single" w:color="A5A5A5"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A5A5A5" w:themeColor="accent3" w:themeTint="FF"/>
        <w:sz w:val="22"/>
        <w14:textFill>
          <w14:solidFill>
            <w14:schemeClr w14:val="accent3">
              <w14:lumMod w14:val="100000"/>
              <w14:lumOff w14:val="0"/>
            </w14:schemeClr>
          </w14:solidFill>
        </w14:textFill>
      </w:rPr>
      <w:tcPr>
        <w:tcBorders>
          <w:top w:val="nil"/>
          <w:left w:val="nil"/>
          <w:bottom w:val="nil"/>
          <w:right w:val="single" w:color="A5A5A5" w:themeColor="accent3" w:themeTint="FE" w:sz="4" w:space="0"/>
        </w:tcBorders>
        <w:shd w:val="clear" w:color="FFFFFF" w:fill="auto"/>
      </w:tcPr>
    </w:tblStylePr>
    <w:tblStylePr w:type="lastCol">
      <w:rPr>
        <w:rFonts w:ascii="Arial" w:hAnsi="Arial"/>
        <w:i/>
        <w:color w:val="A5A5A5" w:themeColor="accent3" w:themeTint="FF"/>
        <w:sz w:val="22"/>
        <w14:textFill>
          <w14:solidFill>
            <w14:schemeClr w14:val="accent3">
              <w14:lumMod w14:val="100000"/>
              <w14:lumOff w14:val="0"/>
            </w14:schemeClr>
          </w14:solidFill>
        </w14:textFill>
      </w:rPr>
      <w:tcPr>
        <w:tcBorders>
          <w:top w:val="nil"/>
          <w:left w:val="single" w:color="A5A5A5" w:themeColor="accent3" w:themeTint="FE" w:sz="4" w:space="0"/>
          <w:bottom w:val="nil"/>
          <w:right w:val="nil"/>
        </w:tcBorders>
        <w:shd w:val="clear" w:color="FFFFFF" w:fill="auto"/>
      </w:tcPr>
    </w:tblStylePr>
    <w:tblStylePr w:type="band1Vert">
      <w:tcPr>
        <w:shd w:val="clear" w:color="ECECEC" w:themeColor="accent3" w:themeTint="34" w:fill="ECECEC" w:themeFill="accent3" w:themeFillTint="34"/>
      </w:tcPr>
    </w:tblStylePr>
    <w:tblStylePr w:type="band1Horz">
      <w:rPr>
        <w:rFonts w:ascii="Arial" w:hAnsi="Arial"/>
        <w:color w:val="A5A5A5" w:themeColor="accent3" w:themeTint="FF"/>
        <w:sz w:val="22"/>
        <w14:textFill>
          <w14:solidFill>
            <w14:schemeClr w14:val="accent3">
              <w14:lumMod w14:val="100000"/>
              <w14:lumOff w14:val="0"/>
            </w14:schemeClr>
          </w14:solidFill>
        </w14:textFill>
      </w:rPr>
      <w:tcPr>
        <w:shd w:val="clear" w:color="ECECEC" w:themeColor="accent3" w:themeTint="34" w:fill="ECECEC" w:themeFill="accent3" w:themeFillTint="34"/>
      </w:tcPr>
    </w:tblStylePr>
    <w:tblStylePr w:type="band2Horz">
      <w:rPr>
        <w:rFonts w:ascii="Arial" w:hAnsi="Arial"/>
        <w:color w:val="A5A5A5" w:themeColor="accent3" w:themeTint="FF"/>
        <w:sz w:val="22"/>
        <w14:textFill>
          <w14:solidFill>
            <w14:schemeClr w14:val="accent3">
              <w14:lumMod w14:val="100000"/>
              <w14:lumOff w14:val="0"/>
            </w14:schemeClr>
          </w14:solidFill>
        </w14:textFill>
      </w:rPr>
    </w:tblStylePr>
  </w:style>
  <w:style w:type="table" w:customStyle="1" w:styleId="108">
    <w:name w:val="Grid Table 7 Colorful - Accent 4"/>
    <w:basedOn w:val="12"/>
    <w:qFormat/>
    <w:uiPriority w:val="99"/>
    <w:pPr>
      <w:spacing w:after="0" w:line="240" w:lineRule="auto"/>
    </w:pPr>
    <w:tblPr>
      <w:tblBorders>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rFonts w:ascii="Arial" w:hAnsi="Arial"/>
        <w:b/>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b/>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EF2CA" w:themeColor="accent4" w:themeTint="34" w:fill="FEF2CA" w:themeFill="accent4" w:themeFillTint="34"/>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09">
    <w:name w:val="Grid Table 7 Colorful - Accent 5"/>
    <w:basedOn w:val="12"/>
    <w:qFormat/>
    <w:uiPriority w:val="99"/>
    <w:pPr>
      <w:spacing w:after="0" w:line="240" w:lineRule="auto"/>
    </w:pPr>
    <w:tblPr>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rFonts w:ascii="Arial" w:hAnsi="Arial"/>
        <w:b/>
        <w:color w:val="254174" w:themeColor="accent5" w:themeShade="94"/>
        <w:sz w:val="22"/>
      </w:rPr>
      <w:tcPr>
        <w:tcBorders>
          <w:top w:val="nil"/>
          <w:left w:val="nil"/>
          <w:bottom w:val="single" w:color="95AFDD" w:themeColor="accent5" w:themeTint="90" w:sz="4" w:space="0"/>
          <w:right w:val="nil"/>
        </w:tcBorders>
        <w:shd w:val="clear" w:color="FFFFFF" w:themeColor="light1" w:fill="FFFFFF" w:themeFill="light1"/>
      </w:tcPr>
    </w:tblStylePr>
    <w:tblStylePr w:type="lastRow">
      <w:rPr>
        <w:rFonts w:ascii="Arial" w:hAnsi="Arial"/>
        <w:b/>
        <w:color w:val="254174" w:themeColor="accent5" w:themeShade="94"/>
        <w:sz w:val="22"/>
      </w:rPr>
      <w:tcPr>
        <w:tcBorders>
          <w:top w:val="single" w:color="95AFDD"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54174" w:themeColor="accent5" w:themeShade="94"/>
        <w:sz w:val="22"/>
      </w:rPr>
      <w:tcPr>
        <w:tcBorders>
          <w:top w:val="nil"/>
          <w:left w:val="nil"/>
          <w:bottom w:val="nil"/>
          <w:right w:val="single" w:color="95AFDD" w:themeColor="accent5" w:themeTint="90" w:sz="4" w:space="0"/>
        </w:tcBorders>
        <w:shd w:val="clear" w:color="FFFFFF" w:fill="auto"/>
      </w:tcPr>
    </w:tblStylePr>
    <w:tblStylePr w:type="lastCol">
      <w:rPr>
        <w:rFonts w:ascii="Arial" w:hAnsi="Arial"/>
        <w:i/>
        <w:color w:val="254174" w:themeColor="accent5" w:themeShade="94"/>
        <w:sz w:val="22"/>
      </w:rPr>
      <w:tcPr>
        <w:tcBorders>
          <w:top w:val="nil"/>
          <w:left w:val="single" w:color="95AFDD" w:themeColor="accent5" w:themeTint="90" w:sz="4" w:space="0"/>
          <w:bottom w:val="nil"/>
          <w:right w:val="nil"/>
        </w:tcBorders>
        <w:shd w:val="clear" w:color="FFFFFF" w:fill="auto"/>
      </w:tcPr>
    </w:tblStylePr>
    <w:tblStylePr w:type="band1Vert">
      <w:tcPr>
        <w:shd w:val="clear" w:color="D8E2F2" w:themeColor="accent5" w:themeTint="34" w:fill="D8E2F2" w:themeFill="accent5" w:themeFillTint="34"/>
      </w:tcPr>
    </w:tblStylePr>
    <w:tblStylePr w:type="band1Horz">
      <w:rPr>
        <w:rFonts w:ascii="Arial" w:hAnsi="Arial"/>
        <w:color w:val="254174" w:themeColor="accent5" w:themeShade="94"/>
        <w:sz w:val="22"/>
      </w:rPr>
      <w:tcPr>
        <w:shd w:val="clear" w:color="D8E2F2" w:themeColor="accent5" w:themeTint="34" w:fill="D8E2F2" w:themeFill="accent5" w:themeFillTint="34"/>
      </w:tcPr>
    </w:tblStylePr>
    <w:tblStylePr w:type="band2Horz">
      <w:rPr>
        <w:rFonts w:ascii="Arial" w:hAnsi="Arial"/>
        <w:color w:val="254174" w:themeColor="accent5" w:themeShade="94"/>
        <w:sz w:val="22"/>
      </w:rPr>
    </w:tblStylePr>
  </w:style>
  <w:style w:type="table" w:customStyle="1" w:styleId="110">
    <w:name w:val="Grid Table 7 Colorful - Accent 6"/>
    <w:basedOn w:val="12"/>
    <w:qFormat/>
    <w:uiPriority w:val="99"/>
    <w:pPr>
      <w:spacing w:after="0" w:line="240" w:lineRule="auto"/>
    </w:pPr>
    <w:tblPr>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416429" w:themeColor="accent6" w:themeShade="94"/>
        <w:sz w:val="22"/>
      </w:rPr>
      <w:tcPr>
        <w:tcBorders>
          <w:top w:val="nil"/>
          <w:left w:val="nil"/>
          <w:bottom w:val="single" w:color="ADD394" w:themeColor="accent6" w:themeTint="90" w:sz="4" w:space="0"/>
          <w:right w:val="nil"/>
        </w:tcBorders>
        <w:shd w:val="clear" w:color="FFFFFF" w:themeColor="light1" w:fill="FFFFFF" w:themeFill="light1"/>
      </w:tcPr>
    </w:tblStylePr>
    <w:tblStylePr w:type="lastRow">
      <w:rPr>
        <w:rFonts w:ascii="Arial" w:hAnsi="Arial"/>
        <w:b/>
        <w:color w:val="416429" w:themeColor="accent6" w:themeShade="94"/>
        <w:sz w:val="22"/>
      </w:rPr>
      <w:tcPr>
        <w:tcBorders>
          <w:top w:val="single" w:color="ADD394"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416429" w:themeColor="accent6" w:themeShade="94"/>
        <w:sz w:val="22"/>
      </w:rPr>
      <w:tcPr>
        <w:tcBorders>
          <w:top w:val="nil"/>
          <w:left w:val="nil"/>
          <w:bottom w:val="nil"/>
          <w:right w:val="single" w:color="ADD394" w:themeColor="accent6" w:themeTint="90" w:sz="4" w:space="0"/>
        </w:tcBorders>
        <w:shd w:val="clear" w:color="FFFFFF" w:fill="auto"/>
      </w:tcPr>
    </w:tblStylePr>
    <w:tblStylePr w:type="lastCol">
      <w:rPr>
        <w:rFonts w:ascii="Arial" w:hAnsi="Arial"/>
        <w:i/>
        <w:color w:val="416429" w:themeColor="accent6" w:themeShade="94"/>
        <w:sz w:val="22"/>
      </w:rPr>
      <w:tcPr>
        <w:tcBorders>
          <w:top w:val="nil"/>
          <w:left w:val="single" w:color="ADD394" w:themeColor="accent6" w:themeTint="90" w:sz="4" w:space="0"/>
          <w:bottom w:val="nil"/>
          <w:right w:val="nil"/>
        </w:tcBorders>
        <w:shd w:val="clear" w:color="FFFFFF" w:fill="auto"/>
      </w:tcPr>
    </w:tblStylePr>
    <w:tblStylePr w:type="band1Vert">
      <w:tcPr>
        <w:shd w:val="clear" w:color="E1EFD8" w:themeColor="accent6" w:themeTint="34" w:fill="E1EFD8" w:themeFill="accent6" w:themeFillTint="34"/>
      </w:tcPr>
    </w:tblStylePr>
    <w:tblStylePr w:type="band1Horz">
      <w:rPr>
        <w:rFonts w:ascii="Arial" w:hAnsi="Arial"/>
        <w:color w:val="416429" w:themeColor="accent6" w:themeShade="94"/>
        <w:sz w:val="22"/>
      </w:rPr>
      <w:tcPr>
        <w:shd w:val="clear" w:color="E1EFD8" w:themeColor="accent6" w:themeTint="34" w:fill="E1EFD8" w:themeFill="accent6" w:themeFillTint="34"/>
      </w:tcPr>
    </w:tblStylePr>
    <w:tblStylePr w:type="band2Horz">
      <w:rPr>
        <w:rFonts w:ascii="Arial" w:hAnsi="Arial"/>
        <w:color w:val="416429" w:themeColor="accent6" w:themeShade="94"/>
        <w:sz w:val="22"/>
      </w:rPr>
    </w:tblStylePr>
  </w:style>
  <w:style w:type="table" w:customStyle="1" w:styleId="111">
    <w:name w:val="List Table 1 Light"/>
    <w:basedOn w:val="12"/>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12">
    <w:name w:val="List Table 1 Light - Accent 1"/>
    <w:basedOn w:val="12"/>
    <w:qFormat/>
    <w:uiPriority w:val="99"/>
    <w:pPr>
      <w:spacing w:after="0" w:line="240" w:lineRule="auto"/>
    </w:pPr>
    <w:tblStylePr w:type="firstRow">
      <w:rPr>
        <w:b/>
        <w:color w:val="404040"/>
      </w:rPr>
      <w:tcPr>
        <w:tcBorders>
          <w:top w:val="nil"/>
          <w:left w:val="nil"/>
          <w:bottom w:val="single" w:color="5B9BD5" w:themeColor="accent1" w:sz="4" w:space="0"/>
          <w:right w:val="nil"/>
        </w:tcBorders>
      </w:tcPr>
    </w:tblStylePr>
    <w:tblStylePr w:type="lastRow">
      <w:rPr>
        <w:b/>
        <w:color w:val="404040"/>
      </w:rPr>
      <w:tcPr>
        <w:tcBorders>
          <w:top w:val="single" w:color="5B9BD5"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5E5F4" w:themeColor="accent1" w:themeTint="40" w:fill="D5E5F4" w:themeFill="accent1" w:themeFillTint="40"/>
      </w:tcPr>
    </w:tblStylePr>
    <w:tblStylePr w:type="band1Horz">
      <w:tcPr>
        <w:shd w:val="clear" w:color="D5E5F4" w:themeColor="accent1" w:themeTint="40" w:fill="D5E5F4" w:themeFill="accent1" w:themeFillTint="40"/>
      </w:tcPr>
    </w:tblStylePr>
  </w:style>
  <w:style w:type="table" w:customStyle="1" w:styleId="113">
    <w:name w:val="List Table 1 Light - Accent 2"/>
    <w:basedOn w:val="12"/>
    <w:qFormat/>
    <w:uiPriority w:val="99"/>
    <w:pPr>
      <w:spacing w:after="0" w:line="240" w:lineRule="auto"/>
    </w:pPr>
    <w:tblStylePr w:type="firstRow">
      <w:rPr>
        <w:b/>
        <w:color w:val="404040"/>
      </w:rPr>
      <w:tcPr>
        <w:tcBorders>
          <w:top w:val="nil"/>
          <w:left w:val="nil"/>
          <w:bottom w:val="single" w:color="ED7D31" w:themeColor="accent2" w:sz="4" w:space="0"/>
          <w:right w:val="nil"/>
        </w:tcBorders>
      </w:tcPr>
    </w:tblStylePr>
    <w:tblStylePr w:type="lastRow">
      <w:rPr>
        <w:b/>
        <w:color w:val="404040"/>
      </w:rPr>
      <w:tcPr>
        <w:tcBorders>
          <w:top w:val="single" w:color="ED7D31"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ADECB" w:themeColor="accent2" w:themeTint="40" w:fill="FADECB" w:themeFill="accent2" w:themeFillTint="40"/>
      </w:tcPr>
    </w:tblStylePr>
    <w:tblStylePr w:type="band1Horz">
      <w:tcPr>
        <w:shd w:val="clear" w:color="FADECB" w:themeColor="accent2" w:themeTint="40" w:fill="FADECB" w:themeFill="accent2" w:themeFillTint="40"/>
      </w:tcPr>
    </w:tblStylePr>
  </w:style>
  <w:style w:type="table" w:customStyle="1" w:styleId="114">
    <w:name w:val="List Table 1 Light - Accent 3"/>
    <w:basedOn w:val="12"/>
    <w:qFormat/>
    <w:uiPriority w:val="99"/>
    <w:pPr>
      <w:spacing w:after="0" w:line="240" w:lineRule="auto"/>
    </w:pPr>
    <w:tblStylePr w:type="firstRow">
      <w:rPr>
        <w:b/>
        <w:color w:val="404040"/>
      </w:rPr>
      <w:tcPr>
        <w:tcBorders>
          <w:top w:val="nil"/>
          <w:left w:val="nil"/>
          <w:bottom w:val="single" w:color="A5A5A5" w:themeColor="accent3" w:sz="4" w:space="0"/>
          <w:right w:val="nil"/>
        </w:tcBorders>
      </w:tcPr>
    </w:tblStylePr>
    <w:tblStylePr w:type="lastRow">
      <w:rPr>
        <w:b/>
        <w:color w:val="404040"/>
      </w:rPr>
      <w:tcPr>
        <w:tcBorders>
          <w:top w:val="single" w:color="A5A5A5"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8E8E8" w:themeColor="accent3" w:themeTint="40" w:fill="E8E8E8" w:themeFill="accent3" w:themeFillTint="40"/>
      </w:tcPr>
    </w:tblStylePr>
    <w:tblStylePr w:type="band1Horz">
      <w:tcPr>
        <w:shd w:val="clear" w:color="E8E8E8" w:themeColor="accent3" w:themeTint="40" w:fill="E8E8E8" w:themeFill="accent3" w:themeFillTint="40"/>
      </w:tcPr>
    </w:tblStylePr>
  </w:style>
  <w:style w:type="table" w:customStyle="1" w:styleId="115">
    <w:name w:val="List Table 1 Light - Accent 4"/>
    <w:basedOn w:val="12"/>
    <w:qFormat/>
    <w:uiPriority w:val="99"/>
    <w:pPr>
      <w:spacing w:after="0" w:line="240" w:lineRule="auto"/>
    </w:pPr>
    <w:tblStylePr w:type="firstRow">
      <w:rPr>
        <w:b/>
        <w:color w:val="404040"/>
      </w:rPr>
      <w:tcPr>
        <w:tcBorders>
          <w:top w:val="nil"/>
          <w:left w:val="nil"/>
          <w:bottom w:val="single" w:color="FFC000" w:themeColor="accent4" w:sz="4" w:space="0"/>
          <w:right w:val="nil"/>
        </w:tcBorders>
      </w:tcPr>
    </w:tblStylePr>
    <w:tblStylePr w:type="lastRow">
      <w:rPr>
        <w:b/>
        <w:color w:val="404040"/>
      </w:rPr>
      <w:tcPr>
        <w:tcBorders>
          <w:top w:val="single" w:color="FFC000"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FEFBE" w:themeColor="accent4" w:themeTint="40" w:fill="FFEFBE" w:themeFill="accent4" w:themeFillTint="40"/>
      </w:tcPr>
    </w:tblStylePr>
    <w:tblStylePr w:type="band1Horz">
      <w:tcPr>
        <w:shd w:val="clear" w:color="FFEFBE" w:themeColor="accent4" w:themeTint="40" w:fill="FFEFBE" w:themeFill="accent4" w:themeFillTint="40"/>
      </w:tcPr>
    </w:tblStylePr>
  </w:style>
  <w:style w:type="table" w:customStyle="1" w:styleId="116">
    <w:name w:val="List Table 1 Light - Accent 5"/>
    <w:basedOn w:val="12"/>
    <w:qFormat/>
    <w:uiPriority w:val="99"/>
    <w:pPr>
      <w:spacing w:after="0" w:line="240" w:lineRule="auto"/>
    </w:pPr>
    <w:tblStylePr w:type="firstRow">
      <w:rPr>
        <w:b/>
        <w:color w:val="404040"/>
      </w:rPr>
      <w:tcPr>
        <w:tcBorders>
          <w:top w:val="nil"/>
          <w:left w:val="nil"/>
          <w:bottom w:val="single" w:color="4472C4" w:themeColor="accent5" w:sz="4" w:space="0"/>
          <w:right w:val="nil"/>
        </w:tcBorders>
      </w:tcPr>
    </w:tblStylePr>
    <w:tblStylePr w:type="lastRow">
      <w:rPr>
        <w:b/>
        <w:color w:val="404040"/>
      </w:rPr>
      <w:tcPr>
        <w:tcBorders>
          <w:top w:val="single" w:color="4472C4"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0DBF0" w:themeColor="accent5" w:themeTint="40" w:fill="D0DBF0" w:themeFill="accent5" w:themeFillTint="40"/>
      </w:tcPr>
    </w:tblStylePr>
    <w:tblStylePr w:type="band1Horz">
      <w:tcPr>
        <w:shd w:val="clear" w:color="D0DBF0" w:themeColor="accent5" w:themeTint="40" w:fill="D0DBF0" w:themeFill="accent5" w:themeFillTint="40"/>
      </w:tcPr>
    </w:tblStylePr>
  </w:style>
  <w:style w:type="table" w:customStyle="1" w:styleId="117">
    <w:name w:val="List Table 1 Light - Accent 6"/>
    <w:basedOn w:val="12"/>
    <w:qFormat/>
    <w:uiPriority w:val="99"/>
    <w:pPr>
      <w:spacing w:after="0" w:line="240" w:lineRule="auto"/>
    </w:pPr>
    <w:tblStylePr w:type="firstRow">
      <w:rPr>
        <w:b/>
        <w:color w:val="404040"/>
      </w:rPr>
      <w:tcPr>
        <w:tcBorders>
          <w:top w:val="nil"/>
          <w:left w:val="nil"/>
          <w:bottom w:val="single" w:color="70AD47" w:themeColor="accent6" w:sz="4" w:space="0"/>
          <w:right w:val="nil"/>
        </w:tcBorders>
      </w:tcPr>
    </w:tblStylePr>
    <w:tblStylePr w:type="lastRow">
      <w:rPr>
        <w:b/>
        <w:color w:val="404040"/>
      </w:rPr>
      <w:tcPr>
        <w:tcBorders>
          <w:top w:val="single" w:color="70AD47"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AEBCF" w:themeColor="accent6" w:themeTint="40" w:fill="DAEBCF" w:themeFill="accent6" w:themeFillTint="40"/>
      </w:tcPr>
    </w:tblStylePr>
    <w:tblStylePr w:type="band1Horz">
      <w:tcPr>
        <w:shd w:val="clear" w:color="DAEBCF" w:themeColor="accent6" w:themeTint="40" w:fill="DAEBCF" w:themeFill="accent6" w:themeFillTint="40"/>
      </w:tcPr>
    </w:tblStylePr>
  </w:style>
  <w:style w:type="table" w:customStyle="1" w:styleId="118">
    <w:name w:val="List Table 2"/>
    <w:basedOn w:val="12"/>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19">
    <w:name w:val="List Table 2 - Accent 1"/>
    <w:basedOn w:val="12"/>
    <w:qFormat/>
    <w:uiPriority w:val="99"/>
    <w:pPr>
      <w:spacing w:after="0" w:line="240" w:lineRule="auto"/>
    </w:pPr>
    <w:tblPr>
      <w:tblBorders>
        <w:top w:val="single" w:color="A2C6E7" w:themeColor="accent1" w:themeTint="90" w:sz="4" w:space="0"/>
        <w:bottom w:val="single" w:color="A2C6E7" w:themeColor="accent1" w:themeTint="90" w:sz="4" w:space="0"/>
        <w:insideH w:val="single" w:color="A2C6E7" w:themeColor="accent1" w:themeTint="90" w:sz="4" w:space="0"/>
      </w:tblBorders>
    </w:tblPr>
    <w:tblStylePr w:type="firstRow">
      <w:rPr>
        <w:rFonts w:ascii="Arial" w:hAnsi="Arial"/>
        <w:b/>
        <w:color w:val="404040"/>
        <w:sz w:val="22"/>
      </w:rPr>
      <w:tcPr>
        <w:tcBorders>
          <w:top w:val="single" w:color="A2C6E7" w:themeColor="accent1" w:themeTint="90" w:sz="4" w:space="0"/>
          <w:left w:val="nil"/>
          <w:bottom w:val="single" w:color="A2C6E7" w:themeColor="accent1" w:themeTint="90" w:sz="4" w:space="0"/>
          <w:right w:val="nil"/>
        </w:tcBorders>
      </w:tcPr>
    </w:tblStylePr>
    <w:tblStylePr w:type="lastRow">
      <w:rPr>
        <w:rFonts w:ascii="Arial" w:hAnsi="Arial"/>
        <w:b/>
        <w:color w:val="404040"/>
        <w:sz w:val="22"/>
      </w:rPr>
      <w:tcPr>
        <w:tcBorders>
          <w:top w:val="single" w:color="A2C6E7" w:themeColor="accent1" w:themeTint="90" w:sz="4" w:space="0"/>
          <w:left w:val="nil"/>
          <w:bottom w:val="single" w:color="A2C6E7"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5E5F4" w:themeColor="accent1" w:themeTint="40" w:fill="D5E5F4" w:themeFill="accent1" w:themeFillTint="40"/>
      </w:tcPr>
    </w:tblStylePr>
    <w:tblStylePr w:type="band1Horz">
      <w:rPr>
        <w:rFonts w:ascii="Arial" w:hAnsi="Arial"/>
        <w:color w:val="404040"/>
        <w:sz w:val="22"/>
      </w:rPr>
      <w:tcPr>
        <w:shd w:val="clear" w:color="D5E5F4" w:themeColor="accent1" w:themeTint="40" w:fill="D5E5F4" w:themeFill="accent1" w:themeFillTint="40"/>
      </w:tcPr>
    </w:tblStylePr>
  </w:style>
  <w:style w:type="table" w:customStyle="1" w:styleId="120">
    <w:name w:val="List Table 2 - Accent 2"/>
    <w:basedOn w:val="12"/>
    <w:qFormat/>
    <w:uiPriority w:val="99"/>
    <w:pPr>
      <w:spacing w:after="0" w:line="240" w:lineRule="auto"/>
    </w:pPr>
    <w:tblPr>
      <w:tblBorders>
        <w:top w:val="single" w:color="F4B58A" w:themeColor="accent2" w:themeTint="90" w:sz="4" w:space="0"/>
        <w:bottom w:val="single" w:color="F4B58A" w:themeColor="accent2" w:themeTint="90" w:sz="4" w:space="0"/>
        <w:insideH w:val="single" w:color="F4B58A" w:themeColor="accent2" w:themeTint="90" w:sz="4" w:space="0"/>
      </w:tblBorders>
    </w:tblPr>
    <w:tblStylePr w:type="fir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la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ADECB" w:themeColor="accent2" w:themeTint="40" w:fill="FADECB" w:themeFill="accent2" w:themeFillTint="40"/>
      </w:tcPr>
    </w:tblStylePr>
    <w:tblStylePr w:type="band1Horz">
      <w:rPr>
        <w:rFonts w:ascii="Arial" w:hAnsi="Arial"/>
        <w:color w:val="404040"/>
        <w:sz w:val="22"/>
      </w:rPr>
      <w:tcPr>
        <w:shd w:val="clear" w:color="FADECB" w:themeColor="accent2" w:themeTint="40" w:fill="FADECB" w:themeFill="accent2" w:themeFillTint="40"/>
      </w:tcPr>
    </w:tblStylePr>
  </w:style>
  <w:style w:type="table" w:customStyle="1" w:styleId="121">
    <w:name w:val="List Table 2 - Accent 3"/>
    <w:basedOn w:val="12"/>
    <w:qFormat/>
    <w:uiPriority w:val="99"/>
    <w:pPr>
      <w:spacing w:after="0" w:line="240" w:lineRule="auto"/>
    </w:pPr>
    <w:tblPr>
      <w:tblBorders>
        <w:top w:val="single" w:color="CCCCCC" w:themeColor="accent3" w:themeTint="90" w:sz="4" w:space="0"/>
        <w:bottom w:val="single" w:color="CCCCCC" w:themeColor="accent3" w:themeTint="90" w:sz="4" w:space="0"/>
        <w:insideH w:val="single" w:color="CCCCCC" w:themeColor="accent3" w:themeTint="90" w:sz="4" w:space="0"/>
      </w:tblBorders>
    </w:tblPr>
    <w:tblStylePr w:type="fir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la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8E8E8" w:themeColor="accent3" w:themeTint="40" w:fill="E8E8E8" w:themeFill="accent3" w:themeFillTint="40"/>
      </w:tcPr>
    </w:tblStylePr>
    <w:tblStylePr w:type="band1Horz">
      <w:rPr>
        <w:rFonts w:ascii="Arial" w:hAnsi="Arial"/>
        <w:color w:val="404040"/>
        <w:sz w:val="22"/>
      </w:rPr>
      <w:tcPr>
        <w:shd w:val="clear" w:color="E8E8E8" w:themeColor="accent3" w:themeTint="40" w:fill="E8E8E8" w:themeFill="accent3" w:themeFillTint="40"/>
      </w:tcPr>
    </w:tblStylePr>
  </w:style>
  <w:style w:type="table" w:customStyle="1" w:styleId="122">
    <w:name w:val="List Table 2 - Accent 4"/>
    <w:basedOn w:val="12"/>
    <w:qFormat/>
    <w:uiPriority w:val="99"/>
    <w:pPr>
      <w:spacing w:after="0" w:line="240" w:lineRule="auto"/>
    </w:pPr>
    <w:tblPr>
      <w:tblBorders>
        <w:top w:val="single" w:color="FFDB6E" w:themeColor="accent4" w:themeTint="90" w:sz="4" w:space="0"/>
        <w:bottom w:val="single" w:color="FFDB6E" w:themeColor="accent4" w:themeTint="90" w:sz="4" w:space="0"/>
        <w:insideH w:val="single" w:color="FFDB6E" w:themeColor="accent4" w:themeTint="90" w:sz="4" w:space="0"/>
      </w:tblBorders>
    </w:tblPr>
    <w:tblStylePr w:type="fir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la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FEFBE" w:themeColor="accent4" w:themeTint="40" w:fill="FFEFBE" w:themeFill="accent4" w:themeFillTint="40"/>
      </w:tcPr>
    </w:tblStylePr>
    <w:tblStylePr w:type="band1Horz">
      <w:rPr>
        <w:rFonts w:ascii="Arial" w:hAnsi="Arial"/>
        <w:color w:val="404040"/>
        <w:sz w:val="22"/>
      </w:rPr>
      <w:tcPr>
        <w:shd w:val="clear" w:color="FFEFBE" w:themeColor="accent4" w:themeTint="40" w:fill="FFEFBE" w:themeFill="accent4" w:themeFillTint="40"/>
      </w:tcPr>
    </w:tblStylePr>
  </w:style>
  <w:style w:type="table" w:customStyle="1" w:styleId="123">
    <w:name w:val="List Table 2 - Accent 5"/>
    <w:basedOn w:val="12"/>
    <w:qFormat/>
    <w:uiPriority w:val="99"/>
    <w:pPr>
      <w:spacing w:after="0" w:line="240" w:lineRule="auto"/>
    </w:pPr>
    <w:tblPr>
      <w:tblBorders>
        <w:top w:val="single" w:color="95AFDD" w:themeColor="accent5" w:themeTint="90" w:sz="4" w:space="0"/>
        <w:bottom w:val="single" w:color="95AFDD" w:themeColor="accent5" w:themeTint="90" w:sz="4" w:space="0"/>
        <w:insideH w:val="single" w:color="95AFDD" w:themeColor="accent5" w:themeTint="90" w:sz="4" w:space="0"/>
      </w:tblBorders>
    </w:tblPr>
    <w:tblStylePr w:type="firstRow">
      <w:rPr>
        <w:rFonts w:ascii="Arial" w:hAnsi="Arial"/>
        <w:b/>
        <w:color w:val="404040"/>
        <w:sz w:val="22"/>
      </w:rPr>
      <w:tcPr>
        <w:tcBorders>
          <w:top w:val="single" w:color="95AFDD" w:themeColor="accent5" w:themeTint="90" w:sz="4" w:space="0"/>
          <w:left w:val="nil"/>
          <w:bottom w:val="single" w:color="95AFDD" w:themeColor="accent5" w:themeTint="90" w:sz="4" w:space="0"/>
          <w:right w:val="nil"/>
        </w:tcBorders>
      </w:tcPr>
    </w:tblStylePr>
    <w:tblStylePr w:type="lastRow">
      <w:rPr>
        <w:rFonts w:ascii="Arial" w:hAnsi="Arial"/>
        <w:b/>
        <w:color w:val="404040"/>
        <w:sz w:val="22"/>
      </w:rPr>
      <w:tcPr>
        <w:tcBorders>
          <w:top w:val="single" w:color="95AFDD" w:themeColor="accent5" w:themeTint="90" w:sz="4" w:space="0"/>
          <w:left w:val="nil"/>
          <w:bottom w:val="single" w:color="95AFDD"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0DBF0" w:themeColor="accent5" w:themeTint="40" w:fill="D0DBF0" w:themeFill="accent5" w:themeFillTint="40"/>
      </w:tcPr>
    </w:tblStylePr>
    <w:tblStylePr w:type="band1Horz">
      <w:rPr>
        <w:rFonts w:ascii="Arial" w:hAnsi="Arial"/>
        <w:color w:val="404040"/>
        <w:sz w:val="22"/>
      </w:rPr>
      <w:tcPr>
        <w:shd w:val="clear" w:color="D0DBF0" w:themeColor="accent5" w:themeTint="40" w:fill="D0DBF0" w:themeFill="accent5" w:themeFillTint="40"/>
      </w:tcPr>
    </w:tblStylePr>
  </w:style>
  <w:style w:type="table" w:customStyle="1" w:styleId="124">
    <w:name w:val="List Table 2 - Accent 6"/>
    <w:basedOn w:val="12"/>
    <w:qFormat/>
    <w:uiPriority w:val="99"/>
    <w:pPr>
      <w:spacing w:after="0" w:line="240" w:lineRule="auto"/>
    </w:pPr>
    <w:tblPr>
      <w:tblBorders>
        <w:top w:val="single" w:color="ADD394" w:themeColor="accent6" w:themeTint="90" w:sz="4" w:space="0"/>
        <w:bottom w:val="single" w:color="ADD394" w:themeColor="accent6" w:themeTint="90" w:sz="4" w:space="0"/>
        <w:insideH w:val="single" w:color="ADD394" w:themeColor="accent6" w:themeTint="90" w:sz="4" w:space="0"/>
      </w:tblBorders>
    </w:tblPr>
    <w:tblStylePr w:type="fir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la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AEBCF" w:themeColor="accent6" w:themeTint="40" w:fill="DAEBCF" w:themeFill="accent6" w:themeFillTint="40"/>
      </w:tcPr>
    </w:tblStylePr>
    <w:tblStylePr w:type="band1Horz">
      <w:rPr>
        <w:rFonts w:ascii="Arial" w:hAnsi="Arial"/>
        <w:color w:val="404040"/>
        <w:sz w:val="22"/>
      </w:rPr>
      <w:tcPr>
        <w:shd w:val="clear" w:color="DAEBCF" w:themeColor="accent6" w:themeTint="40" w:fill="DAEBCF" w:themeFill="accent6" w:themeFillTint="40"/>
      </w:tcPr>
    </w:tblStylePr>
  </w:style>
  <w:style w:type="table" w:customStyle="1" w:styleId="125">
    <w:name w:val="List Table 3"/>
    <w:basedOn w:val="12"/>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26">
    <w:name w:val="List Table 3 - Accent 1"/>
    <w:basedOn w:val="12"/>
    <w:qFormat/>
    <w:uiPriority w:val="99"/>
    <w:pPr>
      <w:spacing w:after="0" w:line="240" w:lineRule="auto"/>
    </w:pPr>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rFonts w:ascii="Arial" w:hAnsi="Arial"/>
        <w:b/>
        <w:color w:val="FFFFFF"/>
        <w:sz w:val="22"/>
      </w:r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band1Horz">
      <w:rPr>
        <w:rFonts w:ascii="Arial" w:hAnsi="Arial"/>
        <w:color w:val="404040"/>
        <w:sz w:val="22"/>
      </w:rPr>
      <w:tcPr>
        <w:tcBorders>
          <w:top w:val="single" w:color="5B9BD5" w:themeColor="accent1" w:sz="4" w:space="0"/>
          <w:bottom w:val="single" w:color="5B9BD5" w:themeColor="accent1" w:sz="4" w:space="0"/>
        </w:tcBorders>
      </w:tcPr>
    </w:tblStylePr>
  </w:style>
  <w:style w:type="table" w:customStyle="1" w:styleId="127">
    <w:name w:val="List Table 3 - Accent 2"/>
    <w:basedOn w:val="12"/>
    <w:qFormat/>
    <w:uiPriority w:val="99"/>
    <w:pPr>
      <w:spacing w:after="0" w:line="240" w:lineRule="auto"/>
    </w:p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blBorders>
    </w:tblPr>
    <w:tblStylePr w:type="firstRow">
      <w:rPr>
        <w:rFonts w:ascii="Arial" w:hAnsi="Arial"/>
        <w:b/>
        <w:color w:val="FFFFFF"/>
        <w:sz w:val="22"/>
      </w:rPr>
      <w:tcPr>
        <w:shd w:val="clear" w:color="F4B285" w:themeColor="accent2" w:themeTint="97" w:fill="F4B2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4B285" w:themeColor="accent2" w:themeTint="97" w:sz="4" w:space="0"/>
          <w:right w:val="single" w:color="F4B285" w:themeColor="accent2" w:themeTint="97" w:sz="4" w:space="0"/>
        </w:tcBorders>
      </w:tcPr>
    </w:tblStylePr>
    <w:tblStylePr w:type="band1Horz">
      <w:rPr>
        <w:rFonts w:ascii="Arial" w:hAnsi="Arial"/>
        <w:color w:val="404040"/>
        <w:sz w:val="22"/>
      </w:rPr>
      <w:tcPr>
        <w:tcBorders>
          <w:top w:val="single" w:color="F4B285" w:themeColor="accent2" w:themeTint="97" w:sz="4" w:space="0"/>
          <w:bottom w:val="single" w:color="F4B285" w:themeColor="accent2" w:themeTint="97" w:sz="4" w:space="0"/>
        </w:tcBorders>
      </w:tcPr>
    </w:tblStylePr>
  </w:style>
  <w:style w:type="table" w:customStyle="1" w:styleId="128">
    <w:name w:val="List Table 3 - Accent 3"/>
    <w:basedOn w:val="12"/>
    <w:qFormat/>
    <w:uiPriority w:val="99"/>
    <w:pPr>
      <w:spacing w:after="0" w:line="240" w:lineRule="auto"/>
    </w:pPr>
    <w:tblPr>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firstRow">
      <w:rPr>
        <w:rFonts w:ascii="Arial" w:hAnsi="Arial"/>
        <w:b/>
        <w:color w:val="FFFFFF"/>
        <w:sz w:val="22"/>
      </w:r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style>
  <w:style w:type="table" w:customStyle="1" w:styleId="129">
    <w:name w:val="List Table 3 - Accent 4"/>
    <w:basedOn w:val="12"/>
    <w:qFormat/>
    <w:uiPriority w:val="99"/>
    <w:pPr>
      <w:spacing w:after="0" w:line="240" w:lineRule="auto"/>
    </w:p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blBorders>
    </w:tblPr>
    <w:tblStylePr w:type="firstRow">
      <w:rPr>
        <w:rFonts w:ascii="Arial" w:hAnsi="Arial"/>
        <w:b/>
        <w:color w:val="FFFFFF"/>
        <w:sz w:val="22"/>
      </w:rPr>
      <w:tcPr>
        <w:shd w:val="clear" w:color="FFD864" w:themeColor="accent4" w:themeTint="9A" w:fill="FFD864"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FD864" w:themeColor="accent4" w:themeTint="9A" w:sz="4" w:space="0"/>
          <w:right w:val="single" w:color="FFD864" w:themeColor="accent4" w:themeTint="9A" w:sz="4" w:space="0"/>
        </w:tcBorders>
      </w:tcPr>
    </w:tblStylePr>
    <w:tblStylePr w:type="band1Horz">
      <w:rPr>
        <w:rFonts w:ascii="Arial" w:hAnsi="Arial"/>
        <w:color w:val="404040"/>
        <w:sz w:val="22"/>
      </w:rPr>
      <w:tcPr>
        <w:tcBorders>
          <w:top w:val="single" w:color="FFD864" w:themeColor="accent4" w:themeTint="9A" w:sz="4" w:space="0"/>
          <w:bottom w:val="single" w:color="FFD864" w:themeColor="accent4" w:themeTint="9A" w:sz="4" w:space="0"/>
        </w:tcBorders>
      </w:tcPr>
    </w:tblStylePr>
  </w:style>
  <w:style w:type="table" w:customStyle="1" w:styleId="130">
    <w:name w:val="List Table 3 - Accent 5"/>
    <w:basedOn w:val="12"/>
    <w:qFormat/>
    <w:uiPriority w:val="99"/>
    <w:pPr>
      <w:spacing w:after="0" w:line="240" w:lineRule="auto"/>
    </w:pPr>
    <w:tblPr>
      <w:tblBorders>
        <w:top w:val="single" w:color="8EA9DB" w:themeColor="accent5" w:themeTint="9A" w:sz="4" w:space="0"/>
        <w:left w:val="single" w:color="8EA9DB" w:themeColor="accent5" w:themeTint="9A" w:sz="4" w:space="0"/>
        <w:bottom w:val="single" w:color="8EA9DB" w:themeColor="accent5" w:themeTint="9A" w:sz="4" w:space="0"/>
        <w:right w:val="single" w:color="8EA9DB" w:themeColor="accent5" w:themeTint="9A" w:sz="4" w:space="0"/>
      </w:tblBorders>
    </w:tblPr>
    <w:tblStylePr w:type="firstRow">
      <w:rPr>
        <w:rFonts w:ascii="Arial" w:hAnsi="Arial"/>
        <w:b/>
        <w:color w:val="FFFFFF"/>
        <w:sz w:val="22"/>
      </w:rPr>
      <w:tcPr>
        <w:shd w:val="clear" w:color="8EA9DB" w:themeColor="accent5" w:themeTint="9A" w:fill="8E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8EA9DB" w:themeColor="accent5" w:themeTint="9A" w:sz="4" w:space="0"/>
          <w:right w:val="single" w:color="8EA9DB" w:themeColor="accent5" w:themeTint="9A" w:sz="4" w:space="0"/>
        </w:tcBorders>
      </w:tcPr>
    </w:tblStylePr>
    <w:tblStylePr w:type="band1Horz">
      <w:rPr>
        <w:rFonts w:ascii="Arial" w:hAnsi="Arial"/>
        <w:color w:val="404040"/>
        <w:sz w:val="22"/>
      </w:rPr>
      <w:tcPr>
        <w:tcBorders>
          <w:top w:val="single" w:color="8EA9DB" w:themeColor="accent5" w:themeTint="9A" w:sz="4" w:space="0"/>
          <w:bottom w:val="single" w:color="8EA9DB" w:themeColor="accent5" w:themeTint="9A" w:sz="4" w:space="0"/>
        </w:tcBorders>
      </w:tcPr>
    </w:tblStylePr>
  </w:style>
  <w:style w:type="table" w:customStyle="1" w:styleId="131">
    <w:name w:val="List Table 3 - Accent 6"/>
    <w:basedOn w:val="12"/>
    <w:qFormat/>
    <w:uiPriority w:val="99"/>
    <w:pPr>
      <w:spacing w:after="0" w:line="240" w:lineRule="auto"/>
    </w:pPr>
    <w:tblPr>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firstRow">
      <w:rPr>
        <w:rFonts w:ascii="Arial" w:hAnsi="Arial"/>
        <w:b/>
        <w:color w:val="FFFFFF"/>
        <w:sz w:val="22"/>
      </w:r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style>
  <w:style w:type="table" w:customStyle="1" w:styleId="132">
    <w:name w:val="List Table 4"/>
    <w:basedOn w:val="12"/>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33">
    <w:name w:val="List Table 4 - Accent 1"/>
    <w:basedOn w:val="12"/>
    <w:qFormat/>
    <w:uiPriority w:val="99"/>
    <w:pPr>
      <w:spacing w:after="0" w:line="240" w:lineRule="auto"/>
    </w:pPr>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firstRow">
      <w:rPr>
        <w:rFonts w:ascii="Arial" w:hAnsi="Arial"/>
        <w:b/>
        <w:color w:val="FFFFFF"/>
        <w:sz w:val="22"/>
      </w:r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5E5F4" w:themeColor="accent1" w:themeTint="40" w:fill="D5E5F4" w:themeFill="accent1" w:themeFillTint="40"/>
      </w:tcPr>
    </w:tblStylePr>
    <w:tblStylePr w:type="band1Horz">
      <w:rPr>
        <w:rFonts w:ascii="Arial" w:hAnsi="Arial"/>
        <w:color w:val="404040"/>
        <w:sz w:val="22"/>
      </w:rPr>
      <w:tcPr>
        <w:shd w:val="clear" w:color="D5E5F4" w:themeColor="accent1" w:themeTint="40" w:fill="D5E5F4" w:themeFill="accent1" w:themeFillTint="40"/>
      </w:tcPr>
    </w:tblStylePr>
  </w:style>
  <w:style w:type="table" w:customStyle="1" w:styleId="134">
    <w:name w:val="List Table 4 - Accent 2"/>
    <w:basedOn w:val="12"/>
    <w:qFormat/>
    <w:uiPriority w:val="99"/>
    <w:pPr>
      <w:spacing w:after="0" w:line="240" w:lineRule="auto"/>
    </w:p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firstRow">
      <w:rPr>
        <w:rFonts w:ascii="Arial" w:hAnsi="Arial"/>
        <w:b/>
        <w:color w:val="FFFFFF"/>
        <w:sz w:val="22"/>
      </w:r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ADECB" w:themeColor="accent2" w:themeTint="40" w:fill="FADECB" w:themeFill="accent2" w:themeFillTint="40"/>
      </w:tcPr>
    </w:tblStylePr>
    <w:tblStylePr w:type="band1Horz">
      <w:rPr>
        <w:rFonts w:ascii="Arial" w:hAnsi="Arial"/>
        <w:color w:val="404040"/>
        <w:sz w:val="22"/>
      </w:rPr>
      <w:tcPr>
        <w:shd w:val="clear" w:color="FADECB" w:themeColor="accent2" w:themeTint="40" w:fill="FADECB" w:themeFill="accent2" w:themeFillTint="40"/>
      </w:tcPr>
    </w:tblStylePr>
  </w:style>
  <w:style w:type="table" w:customStyle="1" w:styleId="135">
    <w:name w:val="List Table 4 - Accent 3"/>
    <w:basedOn w:val="12"/>
    <w:qFormat/>
    <w:uiPriority w:val="99"/>
    <w:pPr>
      <w:spacing w:after="0" w:line="240" w:lineRule="auto"/>
    </w:p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firstRow">
      <w:rPr>
        <w:rFonts w:ascii="Arial" w:hAnsi="Arial"/>
        <w:b/>
        <w:color w:val="FFFFFF"/>
        <w:sz w:val="22"/>
      </w:r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8E8E8" w:themeColor="accent3" w:themeTint="40" w:fill="E8E8E8" w:themeFill="accent3" w:themeFillTint="40"/>
      </w:tcPr>
    </w:tblStylePr>
    <w:tblStylePr w:type="band1Horz">
      <w:rPr>
        <w:rFonts w:ascii="Arial" w:hAnsi="Arial"/>
        <w:color w:val="404040"/>
        <w:sz w:val="22"/>
      </w:rPr>
      <w:tcPr>
        <w:shd w:val="clear" w:color="E8E8E8" w:themeColor="accent3" w:themeTint="40" w:fill="E8E8E8" w:themeFill="accent3" w:themeFillTint="40"/>
      </w:tcPr>
    </w:tblStylePr>
  </w:style>
  <w:style w:type="table" w:customStyle="1" w:styleId="136">
    <w:name w:val="List Table 4 - Accent 4"/>
    <w:basedOn w:val="12"/>
    <w:qFormat/>
    <w:uiPriority w:val="99"/>
    <w:pPr>
      <w:spacing w:after="0" w:line="240" w:lineRule="auto"/>
    </w:p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tblBorders>
    </w:tblPr>
    <w:tblStylePr w:type="firstRow">
      <w:rPr>
        <w:rFonts w:ascii="Arial" w:hAnsi="Arial"/>
        <w:b/>
        <w:color w:val="FFFFFF"/>
        <w:sz w:val="22"/>
      </w:r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FEFBE" w:themeColor="accent4" w:themeTint="40" w:fill="FFEFBE" w:themeFill="accent4" w:themeFillTint="40"/>
      </w:tcPr>
    </w:tblStylePr>
    <w:tblStylePr w:type="band1Horz">
      <w:rPr>
        <w:rFonts w:ascii="Arial" w:hAnsi="Arial"/>
        <w:color w:val="404040"/>
        <w:sz w:val="22"/>
      </w:rPr>
      <w:tcPr>
        <w:shd w:val="clear" w:color="FFEFBE" w:themeColor="accent4" w:themeTint="40" w:fill="FFEFBE" w:themeFill="accent4" w:themeFillTint="40"/>
      </w:tcPr>
    </w:tblStylePr>
  </w:style>
  <w:style w:type="table" w:customStyle="1" w:styleId="137">
    <w:name w:val="List Table 4 - Accent 5"/>
    <w:basedOn w:val="12"/>
    <w:qFormat/>
    <w:uiPriority w:val="99"/>
    <w:pPr>
      <w:spacing w:after="0" w:line="240" w:lineRule="auto"/>
    </w:pPr>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firstRow">
      <w:rPr>
        <w:rFonts w:ascii="Arial" w:hAnsi="Arial"/>
        <w:b/>
        <w:color w:val="FFFFFF"/>
        <w:sz w:val="22"/>
      </w:r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0DBF0" w:themeColor="accent5" w:themeTint="40" w:fill="D0DBF0" w:themeFill="accent5" w:themeFillTint="40"/>
      </w:tcPr>
    </w:tblStylePr>
    <w:tblStylePr w:type="band1Horz">
      <w:rPr>
        <w:rFonts w:ascii="Arial" w:hAnsi="Arial"/>
        <w:color w:val="404040"/>
        <w:sz w:val="22"/>
      </w:rPr>
      <w:tcPr>
        <w:shd w:val="clear" w:color="D0DBF0" w:themeColor="accent5" w:themeTint="40" w:fill="D0DBF0" w:themeFill="accent5" w:themeFillTint="40"/>
      </w:tcPr>
    </w:tblStylePr>
  </w:style>
  <w:style w:type="table" w:customStyle="1" w:styleId="138">
    <w:name w:val="List Table 4 - Accent 6"/>
    <w:basedOn w:val="12"/>
    <w:qFormat/>
    <w:uiPriority w:val="99"/>
    <w:pPr>
      <w:spacing w:after="0" w:line="240" w:lineRule="auto"/>
    </w:p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firstRow">
      <w:rPr>
        <w:rFonts w:ascii="Arial" w:hAnsi="Arial"/>
        <w:b/>
        <w:color w:val="FFFFFF"/>
        <w:sz w:val="22"/>
      </w:r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BCF" w:themeColor="accent6" w:themeTint="40" w:fill="DAEBCF" w:themeFill="accent6" w:themeFillTint="40"/>
      </w:tcPr>
    </w:tblStylePr>
    <w:tblStylePr w:type="band1Horz">
      <w:rPr>
        <w:rFonts w:ascii="Arial" w:hAnsi="Arial"/>
        <w:color w:val="404040"/>
        <w:sz w:val="22"/>
      </w:rPr>
      <w:tcPr>
        <w:shd w:val="clear" w:color="DAEBCF" w:themeColor="accent6" w:themeTint="40" w:fill="DAEBCF" w:themeFill="accent6" w:themeFillTint="40"/>
      </w:tcPr>
    </w:tblStylePr>
  </w:style>
  <w:style w:type="table" w:customStyle="1" w:styleId="139">
    <w:name w:val="List Table 5 Dark"/>
    <w:basedOn w:val="12"/>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40">
    <w:name w:val="List Table 5 Dark - Accent 1"/>
    <w:basedOn w:val="12"/>
    <w:qFormat/>
    <w:uiPriority w:val="99"/>
    <w:pPr>
      <w:spacing w:after="0" w:line="240" w:lineRule="auto"/>
    </w:pPr>
    <w:tblPr>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5B9BD5" w:themeColor="accent1" w:sz="32" w:space="0"/>
          <w:bottom w:val="single" w:color="FFFFFF" w:themeColor="light1" w:sz="12" w:space="0"/>
        </w:tcBorders>
        <w:shd w:val="clear" w:color="5B9BD5" w:themeColor="accent1" w:fill="5B9BD5"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5B9BD5" w:themeColor="accent1" w:sz="32" w:space="0"/>
          <w:right w:val="single" w:color="FFFFFF" w:themeColor="light1" w:sz="4" w:space="0"/>
        </w:tcBorders>
      </w:tcPr>
    </w:tblStylePr>
    <w:tblStylePr w:type="lastCol">
      <w:tcPr>
        <w:tcBorders>
          <w:left w:val="single" w:color="FFFFFF" w:themeColor="light1" w:sz="4" w:space="0"/>
          <w:right w:val="single" w:color="5B9BD5" w:themeColor="accent1" w:sz="32" w:space="0"/>
        </w:tcBorders>
      </w:tcPr>
    </w:tblStylePr>
    <w:tblStylePr w:type="band1Vert">
      <w:tcPr>
        <w:tcBorders>
          <w:left w:val="single" w:color="FFFFFF" w:themeColor="light1" w:sz="4" w:space="0"/>
          <w:right w:val="single" w:color="FFFFFF" w:themeColor="light1" w:sz="4" w:space="0"/>
        </w:tcBorders>
        <w:shd w:val="clear" w:color="5B9BD5" w:themeColor="accent1" w:fill="5B9BD5"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5B9BD5" w:themeColor="accent1" w:fill="5B9BD5" w:themeFill="accent1"/>
      </w:tcPr>
    </w:tblStylePr>
    <w:tblStylePr w:type="band2Horz">
      <w:tcPr>
        <w:tcBorders>
          <w:top w:val="single" w:color="FFFFFF" w:themeColor="light1" w:sz="4" w:space="0"/>
          <w:bottom w:val="single" w:color="FFFFFF" w:themeColor="light1" w:sz="4" w:space="0"/>
        </w:tcBorders>
        <w:shd w:val="clear" w:color="5B9BD5" w:themeColor="accent1" w:fill="5B9BD5" w:themeFill="accent1"/>
      </w:tcPr>
    </w:tblStylePr>
  </w:style>
  <w:style w:type="table" w:customStyle="1" w:styleId="141">
    <w:name w:val="List Table 5 Dark - Accent 2"/>
    <w:basedOn w:val="12"/>
    <w:qFormat/>
    <w:uiPriority w:val="99"/>
    <w:pPr>
      <w:spacing w:after="0" w:line="240" w:lineRule="auto"/>
    </w:pPr>
    <w:tblPr>
      <w:tblBorders>
        <w:top w:val="single" w:color="F4B285" w:themeColor="accent2" w:themeTint="97" w:sz="32" w:space="0"/>
        <w:left w:val="single" w:color="F4B285" w:themeColor="accent2" w:themeTint="97" w:sz="32" w:space="0"/>
        <w:bottom w:val="single" w:color="F4B285" w:themeColor="accent2" w:themeTint="97" w:sz="32" w:space="0"/>
        <w:right w:val="single" w:color="F4B28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F4B285" w:themeColor="accent2" w:themeTint="97" w:sz="32" w:space="0"/>
          <w:bottom w:val="single" w:color="FFFFFF" w:themeColor="light1" w:sz="12" w:space="0"/>
        </w:tcBorders>
        <w:shd w:val="clear" w:color="F4B285" w:themeColor="accent2" w:themeTint="97" w:fill="F4B28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4B285" w:themeColor="accent2" w:themeTint="97" w:sz="32" w:space="0"/>
          <w:right w:val="single" w:color="FFFFFF" w:themeColor="light1" w:sz="4" w:space="0"/>
        </w:tcBorders>
      </w:tcPr>
    </w:tblStylePr>
    <w:tblStylePr w:type="lastCol">
      <w:tcPr>
        <w:tcBorders>
          <w:left w:val="single" w:color="FFFFFF" w:themeColor="light1" w:sz="4" w:space="0"/>
          <w:right w:val="single" w:color="F4B285" w:themeColor="accent2" w:themeTint="97" w:sz="32" w:space="0"/>
        </w:tcBorders>
      </w:tcPr>
    </w:tblStylePr>
    <w:tblStylePr w:type="band1Vert">
      <w:tcPr>
        <w:tcBorders>
          <w:left w:val="single" w:color="FFFFFF" w:themeColor="light1" w:sz="4" w:space="0"/>
          <w:right w:val="single" w:color="FFFFFF" w:themeColor="light1" w:sz="4" w:space="0"/>
        </w:tcBorders>
        <w:shd w:val="clear" w:color="F4B285" w:themeColor="accent2" w:themeTint="97" w:fill="F4B28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4B285" w:themeColor="accent2" w:themeTint="97" w:fill="F4B285" w:themeFill="accent2" w:themeFillTint="97"/>
      </w:tcPr>
    </w:tblStylePr>
    <w:tblStylePr w:type="band2Horz">
      <w:tcPr>
        <w:tcBorders>
          <w:top w:val="single" w:color="FFFFFF" w:themeColor="light1" w:sz="4" w:space="0"/>
          <w:bottom w:val="single" w:color="FFFFFF" w:themeColor="light1" w:sz="4" w:space="0"/>
        </w:tcBorders>
        <w:shd w:val="clear" w:color="F4B285" w:themeColor="accent2" w:themeTint="97" w:fill="F4B285" w:themeFill="accent2" w:themeFillTint="97"/>
      </w:tcPr>
    </w:tblStylePr>
  </w:style>
  <w:style w:type="table" w:customStyle="1" w:styleId="142">
    <w:name w:val="List Table 5 Dark - Accent 3"/>
    <w:basedOn w:val="12"/>
    <w:qFormat/>
    <w:uiPriority w:val="99"/>
    <w:pPr>
      <w:spacing w:after="0" w:line="240" w:lineRule="auto"/>
    </w:pPr>
    <w:tblPr>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9C9C9" w:themeColor="accent3" w:themeTint="98" w:sz="32" w:space="0"/>
          <w:bottom w:val="single" w:color="FFFFFF" w:themeColor="light1" w:sz="12" w:space="0"/>
        </w:tcBorders>
        <w:shd w:val="clear" w:color="C9C9C9" w:themeColor="accent3" w:themeTint="98" w:fill="C9C9C9"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9C9C9" w:themeColor="accent3" w:themeTint="98" w:sz="32" w:space="0"/>
          <w:right w:val="single" w:color="FFFFFF" w:themeColor="light1" w:sz="4" w:space="0"/>
        </w:tcBorders>
      </w:tcPr>
    </w:tblStylePr>
    <w:tblStylePr w:type="lastCol">
      <w:tcPr>
        <w:tcBorders>
          <w:left w:val="single" w:color="FFFFFF" w:themeColor="light1" w:sz="4" w:space="0"/>
          <w:right w:val="single" w:color="C9C9C9" w:themeColor="accent3" w:themeTint="98" w:sz="32" w:space="0"/>
        </w:tcBorders>
      </w:tcPr>
    </w:tblStylePr>
    <w:tblStylePr w:type="band1Vert">
      <w:tcPr>
        <w:tcBorders>
          <w:left w:val="single" w:color="FFFFFF" w:themeColor="light1" w:sz="4" w:space="0"/>
          <w:right w:val="single" w:color="FFFFFF" w:themeColor="light1" w:sz="4" w:space="0"/>
        </w:tcBorders>
        <w:shd w:val="clear" w:color="C9C9C9" w:themeColor="accent3" w:themeTint="98" w:fill="C9C9C9"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tblStylePr w:type="band2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style>
  <w:style w:type="table" w:customStyle="1" w:styleId="143">
    <w:name w:val="List Table 5 Dark - Accent 4"/>
    <w:basedOn w:val="12"/>
    <w:qFormat/>
    <w:uiPriority w:val="99"/>
    <w:pPr>
      <w:spacing w:after="0" w:line="240" w:lineRule="auto"/>
    </w:pPr>
    <w:tblPr>
      <w:tblBorders>
        <w:top w:val="single" w:color="FFD864" w:themeColor="accent4" w:themeTint="9A" w:sz="32" w:space="0"/>
        <w:left w:val="single" w:color="FFD864" w:themeColor="accent4" w:themeTint="9A" w:sz="32" w:space="0"/>
        <w:bottom w:val="single" w:color="FFD864" w:themeColor="accent4" w:themeTint="9A" w:sz="32" w:space="0"/>
        <w:right w:val="single" w:color="FFD864"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FFD864" w:themeColor="accent4" w:themeTint="9A" w:sz="32" w:space="0"/>
          <w:bottom w:val="single" w:color="FFFFFF" w:themeColor="light1" w:sz="12" w:space="0"/>
        </w:tcBorders>
        <w:shd w:val="clear" w:color="FFD864" w:themeColor="accent4" w:themeTint="9A" w:fill="FFD864"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FD864" w:themeColor="accent4" w:themeTint="9A" w:sz="32" w:space="0"/>
          <w:right w:val="single" w:color="FFFFFF" w:themeColor="light1" w:sz="4" w:space="0"/>
        </w:tcBorders>
      </w:tcPr>
    </w:tblStylePr>
    <w:tblStylePr w:type="lastCol">
      <w:tcPr>
        <w:tcBorders>
          <w:left w:val="single" w:color="FFFFFF" w:themeColor="light1" w:sz="4" w:space="0"/>
          <w:right w:val="single" w:color="FFD864" w:themeColor="accent4" w:themeTint="9A" w:sz="32" w:space="0"/>
        </w:tcBorders>
      </w:tcPr>
    </w:tblStylePr>
    <w:tblStylePr w:type="band1Vert">
      <w:tcPr>
        <w:tcBorders>
          <w:left w:val="single" w:color="FFFFFF" w:themeColor="light1" w:sz="4" w:space="0"/>
          <w:right w:val="single" w:color="FFFFFF" w:themeColor="light1" w:sz="4" w:space="0"/>
        </w:tcBorders>
        <w:shd w:val="clear" w:color="FFD864" w:themeColor="accent4" w:themeTint="9A" w:fill="FFD864"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FD864" w:themeColor="accent4" w:themeTint="9A" w:fill="FFD864" w:themeFill="accent4" w:themeFillTint="9A"/>
      </w:tcPr>
    </w:tblStylePr>
    <w:tblStylePr w:type="band2Horz">
      <w:tcPr>
        <w:tcBorders>
          <w:top w:val="single" w:color="FFFFFF" w:themeColor="light1" w:sz="4" w:space="0"/>
          <w:bottom w:val="single" w:color="FFFFFF" w:themeColor="light1" w:sz="4" w:space="0"/>
        </w:tcBorders>
        <w:shd w:val="clear" w:color="FFD864" w:themeColor="accent4" w:themeTint="9A" w:fill="FFD864" w:themeFill="accent4" w:themeFillTint="9A"/>
      </w:tcPr>
    </w:tblStylePr>
  </w:style>
  <w:style w:type="table" w:customStyle="1" w:styleId="144">
    <w:name w:val="List Table 5 Dark - Accent 5"/>
    <w:basedOn w:val="12"/>
    <w:qFormat/>
    <w:uiPriority w:val="99"/>
    <w:pPr>
      <w:spacing w:after="0" w:line="240" w:lineRule="auto"/>
    </w:pPr>
    <w:tblPr>
      <w:tblBorders>
        <w:top w:val="single" w:color="8EA9DB" w:themeColor="accent5" w:themeTint="9A" w:sz="32" w:space="0"/>
        <w:left w:val="single" w:color="8EA9DB" w:themeColor="accent5" w:themeTint="9A" w:sz="32" w:space="0"/>
        <w:bottom w:val="single" w:color="8EA9DB" w:themeColor="accent5" w:themeTint="9A" w:sz="32" w:space="0"/>
        <w:right w:val="single" w:color="8EA9DB"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8EA9DB" w:themeColor="accent5" w:themeTint="9A" w:sz="32" w:space="0"/>
          <w:bottom w:val="single" w:color="FFFFFF" w:themeColor="light1" w:sz="12" w:space="0"/>
        </w:tcBorders>
        <w:shd w:val="clear" w:color="8EA9DB" w:themeColor="accent5" w:themeTint="9A" w:fill="8EA9DB"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8EA9DB" w:themeColor="accent5" w:themeTint="9A" w:sz="32" w:space="0"/>
          <w:right w:val="single" w:color="FFFFFF" w:themeColor="light1" w:sz="4" w:space="0"/>
        </w:tcBorders>
      </w:tcPr>
    </w:tblStylePr>
    <w:tblStylePr w:type="lastCol">
      <w:tcPr>
        <w:tcBorders>
          <w:left w:val="single" w:color="FFFFFF" w:themeColor="light1" w:sz="4" w:space="0"/>
          <w:right w:val="single" w:color="8EA9DB" w:themeColor="accent5" w:themeTint="9A" w:sz="32" w:space="0"/>
        </w:tcBorders>
      </w:tcPr>
    </w:tblStylePr>
    <w:tblStylePr w:type="band1Vert">
      <w:tcPr>
        <w:tcBorders>
          <w:left w:val="single" w:color="FFFFFF" w:themeColor="light1" w:sz="4" w:space="0"/>
          <w:right w:val="single" w:color="FFFFFF" w:themeColor="light1" w:sz="4" w:space="0"/>
        </w:tcBorders>
        <w:shd w:val="clear" w:color="8EA9DB" w:themeColor="accent5" w:themeTint="9A" w:fill="8EA9DB"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8EA9DB" w:themeColor="accent5" w:themeTint="9A" w:fill="8EA9DB" w:themeFill="accent5" w:themeFillTint="9A"/>
      </w:tcPr>
    </w:tblStylePr>
    <w:tblStylePr w:type="band2Horz">
      <w:tcPr>
        <w:tcBorders>
          <w:top w:val="single" w:color="FFFFFF" w:themeColor="light1" w:sz="4" w:space="0"/>
          <w:bottom w:val="single" w:color="FFFFFF" w:themeColor="light1" w:sz="4" w:space="0"/>
        </w:tcBorders>
        <w:shd w:val="clear" w:color="8EA9DB" w:themeColor="accent5" w:themeTint="9A" w:fill="8EA9DB" w:themeFill="accent5" w:themeFillTint="9A"/>
      </w:tcPr>
    </w:tblStylePr>
  </w:style>
  <w:style w:type="table" w:customStyle="1" w:styleId="145">
    <w:name w:val="List Table 5 Dark - Accent 6"/>
    <w:basedOn w:val="12"/>
    <w:qFormat/>
    <w:uiPriority w:val="99"/>
    <w:pPr>
      <w:spacing w:after="0" w:line="240" w:lineRule="auto"/>
    </w:pPr>
    <w:tblPr>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A9D08E" w:themeColor="accent6" w:themeTint="98" w:sz="32" w:space="0"/>
          <w:bottom w:val="single" w:color="FFFFFF" w:themeColor="light1" w:sz="12" w:space="0"/>
        </w:tcBorders>
        <w:shd w:val="clear" w:color="A9D08E" w:themeColor="accent6" w:themeTint="98" w:fill="A9D08E"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A9D08E" w:themeColor="accent6" w:themeTint="98" w:sz="32" w:space="0"/>
          <w:right w:val="single" w:color="FFFFFF" w:themeColor="light1" w:sz="4" w:space="0"/>
        </w:tcBorders>
      </w:tcPr>
    </w:tblStylePr>
    <w:tblStylePr w:type="lastCol">
      <w:tcPr>
        <w:tcBorders>
          <w:left w:val="single" w:color="FFFFFF" w:themeColor="light1" w:sz="4" w:space="0"/>
          <w:right w:val="single" w:color="A9D08E" w:themeColor="accent6" w:themeTint="98" w:sz="32" w:space="0"/>
        </w:tcBorders>
      </w:tcPr>
    </w:tblStylePr>
    <w:tblStylePr w:type="band1Vert">
      <w:tcPr>
        <w:tcBorders>
          <w:left w:val="single" w:color="FFFFFF" w:themeColor="light1" w:sz="4" w:space="0"/>
          <w:right w:val="single" w:color="FFFFFF" w:themeColor="light1" w:sz="4" w:space="0"/>
        </w:tcBorders>
        <w:shd w:val="clear" w:color="A9D08E" w:themeColor="accent6" w:themeTint="98" w:fill="A9D08E"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tblStylePr w:type="band2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style>
  <w:style w:type="table" w:customStyle="1" w:styleId="146">
    <w:name w:val="List Table 6 Colorful"/>
    <w:basedOn w:val="12"/>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47">
    <w:name w:val="List Table 6 Colorful - Accent 1"/>
    <w:basedOn w:val="12"/>
    <w:qFormat/>
    <w:uiPriority w:val="99"/>
    <w:pPr>
      <w:spacing w:after="0" w:line="240" w:lineRule="auto"/>
    </w:pPr>
    <w:tblPr>
      <w:tblBorders>
        <w:top w:val="single" w:color="5B9BD5" w:themeColor="accent1" w:sz="4" w:space="0"/>
        <w:bottom w:val="single" w:color="5B9BD5" w:themeColor="accent1" w:sz="4" w:space="0"/>
      </w:tblBorders>
    </w:tblPr>
    <w:tblStylePr w:type="firstRow">
      <w:rPr>
        <w:b/>
        <w:color w:val="245B8C" w:themeColor="accent1" w:themeShade="94"/>
      </w:rPr>
      <w:tcPr>
        <w:tcBorders>
          <w:bottom w:val="single" w:color="5B9BD5" w:themeColor="accent1" w:sz="4" w:space="0"/>
        </w:tcBorders>
      </w:tcPr>
    </w:tblStylePr>
    <w:tblStylePr w:type="lastRow">
      <w:rPr>
        <w:b/>
        <w:color w:val="245B8C" w:themeColor="accent1" w:themeShade="94"/>
      </w:rPr>
      <w:tcPr>
        <w:tcBorders>
          <w:top w:val="single" w:color="5B9BD5" w:themeColor="accent1" w:sz="4" w:space="0"/>
        </w:tcBorders>
      </w:tcPr>
    </w:tblStylePr>
    <w:tblStylePr w:type="firstCol">
      <w:rPr>
        <w:b/>
        <w:color w:val="245B8C" w:themeColor="accent1" w:themeShade="94"/>
      </w:rPr>
    </w:tblStylePr>
    <w:tblStylePr w:type="lastCol">
      <w:rPr>
        <w:b/>
        <w:color w:val="245B8C" w:themeColor="accent1" w:themeShade="94"/>
      </w:rPr>
    </w:tblStylePr>
    <w:tblStylePr w:type="band1Vert">
      <w:tcPr>
        <w:shd w:val="clear" w:color="D5E5F4" w:themeColor="accent1" w:themeTint="40" w:fill="D5E5F4" w:themeFill="accent1" w:themeFillTint="40"/>
      </w:tcPr>
    </w:tblStylePr>
    <w:tblStylePr w:type="band1Horz">
      <w:rPr>
        <w:rFonts w:ascii="Arial" w:hAnsi="Arial"/>
        <w:color w:val="245B8C" w:themeColor="accent1" w:themeShade="94"/>
        <w:sz w:val="22"/>
      </w:rPr>
      <w:tcPr>
        <w:shd w:val="clear" w:color="D5E5F4" w:themeColor="accent1" w:themeTint="40" w:fill="D5E5F4" w:themeFill="accent1" w:themeFillTint="40"/>
      </w:tcPr>
    </w:tblStylePr>
    <w:tblStylePr w:type="band2Horz">
      <w:rPr>
        <w:rFonts w:ascii="Arial" w:hAnsi="Arial"/>
        <w:color w:val="245B8C" w:themeColor="accent1" w:themeShade="94"/>
        <w:sz w:val="22"/>
      </w:rPr>
    </w:tblStylePr>
  </w:style>
  <w:style w:type="table" w:customStyle="1" w:styleId="148">
    <w:name w:val="List Table 6 Colorful - Accent 2"/>
    <w:basedOn w:val="12"/>
    <w:qFormat/>
    <w:uiPriority w:val="99"/>
    <w:pPr>
      <w:spacing w:after="0" w:line="240" w:lineRule="auto"/>
    </w:pPr>
    <w:tblPr>
      <w:tblBorders>
        <w:top w:val="single" w:color="F4B285" w:themeColor="accent2" w:themeTint="97" w:sz="4" w:space="0"/>
        <w:bottom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4" w:space="0"/>
        </w:tcBorders>
      </w:tcPr>
    </w:tblStylePr>
    <w:tblStylePr w:type="lastRow">
      <w:rPr>
        <w:b/>
        <w:color w:val="F4B285" w:themeColor="accent2" w:themeTint="96"/>
        <w14:textFill>
          <w14:solidFill>
            <w14:schemeClr w14:val="accent2">
              <w14:lumMod w14:val="59000"/>
              <w14:lumOff w14:val="41000"/>
            </w14:schemeClr>
          </w14:solidFill>
        </w14:textFill>
      </w:rPr>
      <w:tcPr>
        <w:tcBorders>
          <w:top w:val="single" w:color="F4B285" w:themeColor="accent2" w:themeTint="97" w:sz="4" w:space="0"/>
        </w:tcBorders>
      </w:tc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ADECB" w:themeColor="accent2" w:themeTint="40" w:fill="FADECB" w:themeFill="accent2" w:themeFill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49">
    <w:name w:val="List Table 6 Colorful - Accent 3"/>
    <w:basedOn w:val="12"/>
    <w:qFormat/>
    <w:uiPriority w:val="99"/>
    <w:pPr>
      <w:spacing w:after="0" w:line="240" w:lineRule="auto"/>
    </w:pPr>
    <w:tblPr>
      <w:tblBorders>
        <w:top w:val="single" w:color="C9C9C9" w:themeColor="accent3" w:themeTint="98" w:sz="4" w:space="0"/>
        <w:bottom w:val="single" w:color="C9C9C9" w:themeColor="accent3" w:themeTint="98" w:sz="4" w:space="0"/>
      </w:tblBorders>
    </w:tblPr>
    <w:tblStylePr w:type="firstRow">
      <w:rPr>
        <w:b/>
        <w:color w:val="C9C9C9" w:themeColor="accent3" w:themeTint="99"/>
        <w14:textFill>
          <w14:solidFill>
            <w14:schemeClr w14:val="accent3">
              <w14:lumMod w14:val="60000"/>
              <w14:lumOff w14:val="40000"/>
            </w14:schemeClr>
          </w14:solidFill>
        </w14:textFill>
      </w:rPr>
      <w:tcPr>
        <w:tcBorders>
          <w:bottom w:val="single" w:color="C9C9C9" w:themeColor="accent3" w:themeTint="98" w:sz="4" w:space="0"/>
        </w:tcBorders>
      </w:tcPr>
    </w:tblStylePr>
    <w:tblStylePr w:type="lastRow">
      <w:rPr>
        <w:b/>
        <w:color w:val="C9C9C9" w:themeColor="accent3" w:themeTint="99"/>
        <w14:textFill>
          <w14:solidFill>
            <w14:schemeClr w14:val="accent3">
              <w14:lumMod w14:val="60000"/>
              <w14:lumOff w14:val="40000"/>
            </w14:schemeClr>
          </w14:solidFill>
        </w14:textFill>
      </w:rPr>
      <w:tcPr>
        <w:tcBorders>
          <w:top w:val="single" w:color="C9C9C9" w:themeColor="accent3" w:themeTint="98" w:sz="4" w:space="0"/>
        </w:tcBorders>
      </w:tcPr>
    </w:tblStylePr>
    <w:tblStylePr w:type="firstCol">
      <w:rPr>
        <w:b/>
        <w:color w:val="C9C9C9" w:themeColor="accent3" w:themeTint="99"/>
        <w14:textFill>
          <w14:solidFill>
            <w14:schemeClr w14:val="accent3">
              <w14:lumMod w14:val="60000"/>
              <w14:lumOff w14:val="40000"/>
            </w14:schemeClr>
          </w14:solidFill>
        </w14:textFill>
      </w:rPr>
    </w:tblStylePr>
    <w:tblStylePr w:type="lastCol">
      <w:rPr>
        <w:b/>
        <w:color w:val="C9C9C9" w:themeColor="accent3" w:themeTint="99"/>
        <w14:textFill>
          <w14:solidFill>
            <w14:schemeClr w14:val="accent3">
              <w14:lumMod w14:val="60000"/>
              <w14:lumOff w14:val="40000"/>
            </w14:schemeClr>
          </w14:solidFill>
        </w14:textFill>
      </w:rPr>
    </w:tblStylePr>
    <w:tblStylePr w:type="band1Vert">
      <w:tcPr>
        <w:shd w:val="clear" w:color="E8E8E8" w:themeColor="accent3" w:themeTint="40" w:fill="E8E8E8" w:themeFill="accent3" w:themeFill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150">
    <w:name w:val="List Table 6 Colorful - Accent 4"/>
    <w:basedOn w:val="12"/>
    <w:qFormat/>
    <w:uiPriority w:val="99"/>
    <w:pPr>
      <w:spacing w:after="0" w:line="240" w:lineRule="auto"/>
    </w:pPr>
    <w:tblPr>
      <w:tblBorders>
        <w:top w:val="single" w:color="FFD864" w:themeColor="accent4" w:themeTint="9A" w:sz="4" w:space="0"/>
        <w:bottom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4" w:space="0"/>
        </w:tcBorders>
      </w:tcPr>
    </w:tblStylePr>
    <w:tblStylePr w:type="lastRow">
      <w:rPr>
        <w:b/>
        <w:color w:val="FFD966" w:themeColor="accent4" w:themeTint="99"/>
        <w14:textFill>
          <w14:solidFill>
            <w14:schemeClr w14:val="accent4">
              <w14:lumMod w14:val="60000"/>
              <w14:lumOff w14:val="40000"/>
            </w14:schemeClr>
          </w14:solidFill>
        </w14:textFill>
      </w:rPr>
      <w:tcPr>
        <w:tcBorders>
          <w:top w:val="single" w:color="FFD864" w:themeColor="accent4" w:themeTint="9A" w:sz="4" w:space="0"/>
        </w:tcBorders>
      </w:tc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FEFBE" w:themeColor="accent4" w:themeTint="40" w:fill="FFEFBE" w:themeFill="accent4" w:themeFill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51">
    <w:name w:val="List Table 6 Colorful - Accent 5"/>
    <w:basedOn w:val="12"/>
    <w:qFormat/>
    <w:uiPriority w:val="99"/>
    <w:pPr>
      <w:spacing w:after="0" w:line="240" w:lineRule="auto"/>
    </w:pPr>
    <w:tblPr>
      <w:tblBorders>
        <w:top w:val="single" w:color="8EA9DB" w:themeColor="accent5" w:themeTint="9A" w:sz="4" w:space="0"/>
        <w:bottom w:val="single" w:color="8EA9DB" w:themeColor="accent5" w:themeTint="9A" w:sz="4" w:space="0"/>
      </w:tblBorders>
    </w:tblPr>
    <w:tblStylePr w:type="firstRow">
      <w:rPr>
        <w:b/>
        <w:color w:val="8FAADC" w:themeColor="accent5" w:themeTint="99"/>
        <w14:textFill>
          <w14:solidFill>
            <w14:schemeClr w14:val="accent5">
              <w14:lumMod w14:val="60000"/>
              <w14:lumOff w14:val="40000"/>
            </w14:schemeClr>
          </w14:solidFill>
        </w14:textFill>
      </w:rPr>
      <w:tcPr>
        <w:tcBorders>
          <w:bottom w:val="single" w:color="8EA9DB" w:themeColor="accent5" w:themeTint="9A" w:sz="4" w:space="0"/>
        </w:tcBorders>
      </w:tcPr>
    </w:tblStylePr>
    <w:tblStylePr w:type="lastRow">
      <w:rPr>
        <w:b/>
        <w:color w:val="8FAADC" w:themeColor="accent5" w:themeTint="99"/>
        <w14:textFill>
          <w14:solidFill>
            <w14:schemeClr w14:val="accent5">
              <w14:lumMod w14:val="60000"/>
              <w14:lumOff w14:val="40000"/>
            </w14:schemeClr>
          </w14:solidFill>
        </w14:textFill>
      </w:rPr>
      <w:tcPr>
        <w:tcBorders>
          <w:top w:val="single" w:color="8EA9DB" w:themeColor="accent5" w:themeTint="9A" w:sz="4" w:space="0"/>
        </w:tcBorders>
      </w:tcPr>
    </w:tblStylePr>
    <w:tblStylePr w:type="firstCol">
      <w:rPr>
        <w:b/>
        <w:color w:val="8FAADC" w:themeColor="accent5" w:themeTint="99"/>
        <w14:textFill>
          <w14:solidFill>
            <w14:schemeClr w14:val="accent5">
              <w14:lumMod w14:val="60000"/>
              <w14:lumOff w14:val="40000"/>
            </w14:schemeClr>
          </w14:solidFill>
        </w14:textFill>
      </w:rPr>
    </w:tblStylePr>
    <w:tblStylePr w:type="lastCol">
      <w:rPr>
        <w:b/>
        <w:color w:val="8FAADC" w:themeColor="accent5" w:themeTint="99"/>
        <w14:textFill>
          <w14:solidFill>
            <w14:schemeClr w14:val="accent5">
              <w14:lumMod w14:val="60000"/>
              <w14:lumOff w14:val="40000"/>
            </w14:schemeClr>
          </w14:solidFill>
        </w14:textFill>
      </w:rPr>
    </w:tblStylePr>
    <w:tblStylePr w:type="band1Vert">
      <w:tcPr>
        <w:shd w:val="clear" w:color="D0DBF0" w:themeColor="accent5" w:themeTint="40" w:fill="D0DBF0" w:themeFill="accent5" w:themeFillTint="40"/>
      </w:tcPr>
    </w:tblStylePr>
    <w:tblStylePr w:type="band1Horz">
      <w:rPr>
        <w:rFonts w:ascii="Arial" w:hAnsi="Arial"/>
        <w:color w:val="8FAADC" w:themeColor="accent5" w:themeTint="99"/>
        <w:sz w:val="22"/>
        <w14:textFill>
          <w14:solidFill>
            <w14:schemeClr w14:val="accent5">
              <w14:lumMod w14:val="60000"/>
              <w14:lumOff w14:val="40000"/>
            </w14:schemeClr>
          </w14:solidFill>
        </w14:textFill>
      </w:rPr>
      <w:tcPr>
        <w:shd w:val="clear" w:color="D0DBF0" w:themeColor="accent5" w:themeTint="40"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StylePr>
  </w:style>
  <w:style w:type="table" w:customStyle="1" w:styleId="152">
    <w:name w:val="List Table 6 Colorful - Accent 6"/>
    <w:basedOn w:val="12"/>
    <w:qFormat/>
    <w:uiPriority w:val="99"/>
    <w:pPr>
      <w:spacing w:after="0" w:line="240" w:lineRule="auto"/>
    </w:pPr>
    <w:tblPr>
      <w:tblBorders>
        <w:top w:val="single" w:color="A9D08E" w:themeColor="accent6" w:themeTint="98" w:sz="4" w:space="0"/>
        <w:bottom w:val="single" w:color="A9D08E" w:themeColor="accent6" w:themeTint="98" w:sz="4" w:space="0"/>
      </w:tblBorders>
    </w:tblPr>
    <w:tblStylePr w:type="firstRow">
      <w:rPr>
        <w:b/>
        <w:color w:val="A9D18E" w:themeColor="accent6" w:themeTint="99"/>
        <w14:textFill>
          <w14:solidFill>
            <w14:schemeClr w14:val="accent6">
              <w14:lumMod w14:val="60000"/>
              <w14:lumOff w14:val="40000"/>
            </w14:schemeClr>
          </w14:solidFill>
        </w14:textFill>
      </w:rPr>
      <w:tcPr>
        <w:tcBorders>
          <w:bottom w:val="single" w:color="A9D08E" w:themeColor="accent6" w:themeTint="98" w:sz="4" w:space="0"/>
        </w:tcBorders>
      </w:tcPr>
    </w:tblStylePr>
    <w:tblStylePr w:type="lastRow">
      <w:rPr>
        <w:b/>
        <w:color w:val="A9D18E" w:themeColor="accent6" w:themeTint="99"/>
        <w14:textFill>
          <w14:solidFill>
            <w14:schemeClr w14:val="accent6">
              <w14:lumMod w14:val="60000"/>
              <w14:lumOff w14:val="40000"/>
            </w14:schemeClr>
          </w14:solidFill>
        </w14:textFill>
      </w:rPr>
      <w:tcPr>
        <w:tcBorders>
          <w:top w:val="single" w:color="A9D08E" w:themeColor="accent6" w:themeTint="98" w:sz="4" w:space="0"/>
        </w:tcBorders>
      </w:tcPr>
    </w:tblStylePr>
    <w:tblStylePr w:type="firstCol">
      <w:rPr>
        <w:b/>
        <w:color w:val="A9D18E" w:themeColor="accent6" w:themeTint="99"/>
        <w14:textFill>
          <w14:solidFill>
            <w14:schemeClr w14:val="accent6">
              <w14:lumMod w14:val="60000"/>
              <w14:lumOff w14:val="40000"/>
            </w14:schemeClr>
          </w14:solidFill>
        </w14:textFill>
      </w:rPr>
    </w:tblStylePr>
    <w:tblStylePr w:type="lastCol">
      <w:rPr>
        <w:b/>
        <w:color w:val="A9D18E" w:themeColor="accent6" w:themeTint="99"/>
        <w14:textFill>
          <w14:solidFill>
            <w14:schemeClr w14:val="accent6">
              <w14:lumMod w14:val="60000"/>
              <w14:lumOff w14:val="40000"/>
            </w14:schemeClr>
          </w14:solidFill>
        </w14:textFill>
      </w:rPr>
    </w:tblStylePr>
    <w:tblStylePr w:type="band1Vert">
      <w:tcPr>
        <w:shd w:val="clear" w:color="DAEBCF" w:themeColor="accent6" w:themeTint="40" w:fill="DAEBCF" w:themeFill="accent6" w:themeFill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153">
    <w:name w:val="List Table 7 Colorful"/>
    <w:basedOn w:val="12"/>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54">
    <w:name w:val="List Table 7 Colorful - Accent 1"/>
    <w:basedOn w:val="12"/>
    <w:qFormat/>
    <w:uiPriority w:val="99"/>
    <w:pPr>
      <w:spacing w:after="0" w:line="240" w:lineRule="auto"/>
    </w:pPr>
    <w:tblPr>
      <w:tblBorders>
        <w:right w:val="single" w:color="5B9BD5" w:themeColor="accent1" w:sz="4" w:space="0"/>
      </w:tblBorders>
    </w:tblPr>
    <w:tblStylePr w:type="firstRow">
      <w:rPr>
        <w:rFonts w:ascii="Arial" w:hAnsi="Arial"/>
        <w:i/>
        <w:color w:val="245B8C" w:themeColor="accent1" w:themeShade="94"/>
        <w:sz w:val="22"/>
      </w:rPr>
      <w:tcPr>
        <w:tcBorders>
          <w:top w:val="nil"/>
          <w:left w:val="nil"/>
          <w:bottom w:val="single" w:color="5B9BD5" w:themeColor="accent1" w:sz="4" w:space="0"/>
          <w:right w:val="nil"/>
        </w:tcBorders>
        <w:shd w:val="clear" w:color="FFFFFF" w:themeColor="light1" w:fill="FFFFFF" w:themeFill="light1"/>
      </w:tcPr>
    </w:tblStylePr>
    <w:tblStylePr w:type="lastRow">
      <w:rPr>
        <w:rFonts w:ascii="Arial" w:hAnsi="Arial"/>
        <w:i/>
        <w:color w:val="245B8C" w:themeColor="accent1" w:themeShade="94"/>
        <w:sz w:val="22"/>
      </w:rPr>
      <w:tcPr>
        <w:tcBorders>
          <w:top w:val="single" w:color="5B9BD5"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45B8C" w:themeColor="accent1" w:themeShade="94"/>
        <w:sz w:val="22"/>
      </w:rPr>
      <w:tcPr>
        <w:tcBorders>
          <w:top w:val="nil"/>
          <w:left w:val="nil"/>
          <w:bottom w:val="nil"/>
          <w:right w:val="single" w:color="5B9BD5" w:themeColor="accent1" w:sz="4" w:space="0"/>
        </w:tcBorders>
        <w:shd w:val="clear" w:color="FFFFFF" w:fill="auto"/>
      </w:tcPr>
    </w:tblStylePr>
    <w:tblStylePr w:type="lastCol">
      <w:rPr>
        <w:rFonts w:ascii="Arial" w:hAnsi="Arial"/>
        <w:i/>
        <w:color w:val="245B8C" w:themeColor="accent1" w:themeShade="94"/>
        <w:sz w:val="22"/>
      </w:rPr>
      <w:tcPr>
        <w:tcBorders>
          <w:top w:val="nil"/>
          <w:left w:val="single" w:color="5B9BD5" w:themeColor="accent1" w:sz="4" w:space="0"/>
          <w:bottom w:val="nil"/>
          <w:right w:val="nil"/>
        </w:tcBorders>
        <w:shd w:val="clear" w:color="FFFFFF" w:fill="auto"/>
      </w:tcPr>
    </w:tblStylePr>
    <w:tblStylePr w:type="band1Vert">
      <w:tcPr>
        <w:shd w:val="clear" w:color="D5E5F4" w:themeColor="accent1" w:themeTint="40" w:fill="D5E5F4" w:themeFill="accent1" w:themeFillTint="40"/>
      </w:tcPr>
    </w:tblStylePr>
    <w:tblStylePr w:type="band1Horz">
      <w:rPr>
        <w:rFonts w:ascii="Arial" w:hAnsi="Arial"/>
        <w:color w:val="245B8C" w:themeColor="accent1" w:themeShade="94"/>
        <w:sz w:val="22"/>
      </w:rPr>
      <w:tcPr>
        <w:shd w:val="clear" w:color="D5E5F4" w:themeColor="accent1" w:themeTint="40" w:fill="D5E5F4" w:themeFill="accent1" w:themeFillTint="40"/>
      </w:tcPr>
    </w:tblStylePr>
    <w:tblStylePr w:type="band2Horz">
      <w:rPr>
        <w:rFonts w:ascii="Arial" w:hAnsi="Arial"/>
        <w:color w:val="245B8C" w:themeColor="accent1" w:themeShade="94"/>
        <w:sz w:val="22"/>
      </w:rPr>
    </w:tblStylePr>
  </w:style>
  <w:style w:type="table" w:customStyle="1" w:styleId="155">
    <w:name w:val="List Table 7 Colorful - Accent 2"/>
    <w:basedOn w:val="12"/>
    <w:qFormat/>
    <w:uiPriority w:val="99"/>
    <w:pPr>
      <w:spacing w:after="0" w:line="240" w:lineRule="auto"/>
    </w:pPr>
    <w:tblPr>
      <w:tblBorders>
        <w:right w:val="single" w:color="F4B285" w:themeColor="accent2" w:themeTint="97" w:sz="4" w:space="0"/>
      </w:tblBorders>
    </w:tblPr>
    <w:tblStylePr w:type="firstRow">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i/>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ADECB" w:themeColor="accent2" w:themeTint="40" w:fill="FADECB" w:themeFill="accent2" w:themeFill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56">
    <w:name w:val="List Table 7 Colorful - Accent 3"/>
    <w:basedOn w:val="12"/>
    <w:qFormat/>
    <w:uiPriority w:val="99"/>
    <w:pPr>
      <w:spacing w:after="0" w:line="240" w:lineRule="auto"/>
    </w:pPr>
    <w:tblPr>
      <w:tblBorders>
        <w:right w:val="single" w:color="C9C9C9" w:themeColor="accent3" w:themeTint="98" w:sz="4" w:space="0"/>
      </w:tblBorders>
    </w:tblPr>
    <w:tblStylePr w:type="firstRow">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single" w:color="C9C9C9" w:themeColor="accent3" w:themeTint="98" w:sz="4" w:space="0"/>
          <w:right w:val="nil"/>
        </w:tcBorders>
        <w:shd w:val="clear" w:color="FFFFFF" w:themeColor="light1" w:fill="FFFFFF" w:themeFill="light1"/>
      </w:tcPr>
    </w:tblStylePr>
    <w:tblStylePr w:type="lastRow">
      <w:rPr>
        <w:rFonts w:ascii="Arial" w:hAnsi="Arial"/>
        <w:i/>
        <w:color w:val="C9C9C9" w:themeColor="accent3" w:themeTint="99"/>
        <w:sz w:val="22"/>
        <w14:textFill>
          <w14:solidFill>
            <w14:schemeClr w14:val="accent3">
              <w14:lumMod w14:val="60000"/>
              <w14:lumOff w14:val="40000"/>
            </w14:schemeClr>
          </w14:solidFill>
        </w14:textFill>
      </w:rPr>
      <w:tcPr>
        <w:tcBorders>
          <w:top w:val="single" w:color="C9C9C9"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nil"/>
          <w:right w:val="single" w:color="C9C9C9" w:themeColor="accent3" w:themeTint="98" w:sz="4" w:space="0"/>
        </w:tcBorders>
        <w:shd w:val="clear" w:color="FFFFFF" w:fill="auto"/>
      </w:tcPr>
    </w:tblStylePr>
    <w:tblStylePr w:type="lastCol">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single" w:color="C9C9C9" w:themeColor="accent3" w:themeTint="98" w:sz="4" w:space="0"/>
          <w:bottom w:val="nil"/>
          <w:right w:val="nil"/>
        </w:tcBorders>
        <w:shd w:val="clear" w:color="FFFFFF" w:fill="auto"/>
      </w:tcPr>
    </w:tblStylePr>
    <w:tblStylePr w:type="band1Vert">
      <w:tcPr>
        <w:shd w:val="clear" w:color="E8E8E8" w:themeColor="accent3" w:themeTint="40" w:fill="E8E8E8" w:themeFill="accent3" w:themeFill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157">
    <w:name w:val="List Table 7 Colorful - Accent 4"/>
    <w:basedOn w:val="12"/>
    <w:qFormat/>
    <w:uiPriority w:val="99"/>
    <w:pPr>
      <w:spacing w:after="0" w:line="240" w:lineRule="auto"/>
    </w:pPr>
    <w:tblPr>
      <w:tblBorders>
        <w:right w:val="single" w:color="FFD864" w:themeColor="accent4" w:themeTint="9A" w:sz="4" w:space="0"/>
      </w:tblBorders>
    </w:tblPr>
    <w:tblStylePr w:type="firstRow">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i/>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FEFBE" w:themeColor="accent4" w:themeTint="40" w:fill="FFEFBE" w:themeFill="accent4" w:themeFill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58">
    <w:name w:val="List Table 7 Colorful - Accent 5"/>
    <w:basedOn w:val="12"/>
    <w:qFormat/>
    <w:uiPriority w:val="99"/>
    <w:pPr>
      <w:spacing w:after="0" w:line="240" w:lineRule="auto"/>
    </w:pPr>
    <w:tblPr>
      <w:tblBorders>
        <w:right w:val="single" w:color="8EA9DB" w:themeColor="accent5" w:themeTint="9A" w:sz="4" w:space="0"/>
      </w:tblBorders>
    </w:tblPr>
    <w:tblStylePr w:type="firstRow">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nil"/>
          <w:bottom w:val="single" w:color="8EA9DB" w:themeColor="accent5" w:themeTint="9A" w:sz="4" w:space="0"/>
          <w:right w:val="nil"/>
        </w:tcBorders>
        <w:shd w:val="clear" w:color="FFFFFF" w:themeColor="light1" w:fill="FFFFFF" w:themeFill="light1"/>
      </w:tcPr>
    </w:tblStylePr>
    <w:tblStylePr w:type="lastRow">
      <w:rPr>
        <w:rFonts w:ascii="Arial" w:hAnsi="Arial"/>
        <w:i/>
        <w:color w:val="8FAADC" w:themeColor="accent5" w:themeTint="99"/>
        <w:sz w:val="22"/>
        <w14:textFill>
          <w14:solidFill>
            <w14:schemeClr w14:val="accent5">
              <w14:lumMod w14:val="60000"/>
              <w14:lumOff w14:val="40000"/>
            </w14:schemeClr>
          </w14:solidFill>
        </w14:textFill>
      </w:rPr>
      <w:tcPr>
        <w:tcBorders>
          <w:top w:val="single" w:color="8EA9DB"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nil"/>
          <w:bottom w:val="nil"/>
          <w:right w:val="single" w:color="8EA9DB" w:themeColor="accent5" w:themeTint="9A" w:sz="4" w:space="0"/>
        </w:tcBorders>
        <w:shd w:val="clear" w:color="FFFFFF" w:fill="auto"/>
      </w:tcPr>
    </w:tblStylePr>
    <w:tblStylePr w:type="lastCol">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single" w:color="8EA9DB" w:themeColor="accent5" w:themeTint="9A" w:sz="4" w:space="0"/>
          <w:bottom w:val="nil"/>
          <w:right w:val="nil"/>
        </w:tcBorders>
        <w:shd w:val="clear" w:color="FFFFFF" w:fill="auto"/>
      </w:tcPr>
    </w:tblStylePr>
    <w:tblStylePr w:type="band1Vert">
      <w:tcPr>
        <w:shd w:val="clear" w:color="D0DBF0" w:themeColor="accent5" w:themeTint="40" w:fill="D0DBF0" w:themeFill="accent5" w:themeFillTint="40"/>
      </w:tcPr>
    </w:tblStylePr>
    <w:tblStylePr w:type="band1Horz">
      <w:rPr>
        <w:rFonts w:ascii="Arial" w:hAnsi="Arial"/>
        <w:color w:val="8FAADC" w:themeColor="accent5" w:themeTint="99"/>
        <w:sz w:val="22"/>
        <w14:textFill>
          <w14:solidFill>
            <w14:schemeClr w14:val="accent5">
              <w14:lumMod w14:val="60000"/>
              <w14:lumOff w14:val="40000"/>
            </w14:schemeClr>
          </w14:solidFill>
        </w14:textFill>
      </w:rPr>
      <w:tcPr>
        <w:shd w:val="clear" w:color="D0DBF0" w:themeColor="accent5" w:themeTint="40"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StylePr>
  </w:style>
  <w:style w:type="table" w:customStyle="1" w:styleId="159">
    <w:name w:val="List Table 7 Colorful - Accent 6"/>
    <w:basedOn w:val="12"/>
    <w:qFormat/>
    <w:uiPriority w:val="99"/>
    <w:pPr>
      <w:spacing w:after="0" w:line="240" w:lineRule="auto"/>
    </w:pPr>
    <w:tblPr>
      <w:tblBorders>
        <w:right w:val="single" w:color="A9D08E" w:themeColor="accent6" w:themeTint="98" w:sz="4" w:space="0"/>
      </w:tblBorders>
    </w:tblPr>
    <w:tblStylePr w:type="firstRow">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single" w:color="A9D08E" w:themeColor="accent6" w:themeTint="98" w:sz="4" w:space="0"/>
          <w:right w:val="nil"/>
        </w:tcBorders>
        <w:shd w:val="clear" w:color="FFFFFF" w:themeColor="light1" w:fill="FFFFFF" w:themeFill="light1"/>
      </w:tcPr>
    </w:tblStylePr>
    <w:tblStylePr w:type="lastRow">
      <w:rPr>
        <w:rFonts w:ascii="Arial" w:hAnsi="Arial"/>
        <w:i/>
        <w:color w:val="A9D18E" w:themeColor="accent6" w:themeTint="99"/>
        <w:sz w:val="22"/>
        <w14:textFill>
          <w14:solidFill>
            <w14:schemeClr w14:val="accent6">
              <w14:lumMod w14:val="60000"/>
              <w14:lumOff w14:val="40000"/>
            </w14:schemeClr>
          </w14:solidFill>
        </w14:textFill>
      </w:rPr>
      <w:tcPr>
        <w:tcBorders>
          <w:top w:val="single" w:color="A9D08E"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nil"/>
          <w:right w:val="single" w:color="A9D08E" w:themeColor="accent6" w:themeTint="98" w:sz="4" w:space="0"/>
        </w:tcBorders>
        <w:shd w:val="clear" w:color="FFFFFF" w:fill="auto"/>
      </w:tcPr>
    </w:tblStylePr>
    <w:tblStylePr w:type="lastCol">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single" w:color="A9D08E" w:themeColor="accent6" w:themeTint="98" w:sz="4" w:space="0"/>
          <w:bottom w:val="nil"/>
          <w:right w:val="nil"/>
        </w:tcBorders>
        <w:shd w:val="clear" w:color="FFFFFF" w:fill="auto"/>
      </w:tcPr>
    </w:tblStylePr>
    <w:tblStylePr w:type="band1Vert">
      <w:tcPr>
        <w:shd w:val="clear" w:color="DAEBCF" w:themeColor="accent6" w:themeTint="40" w:fill="DAEBCF" w:themeFill="accent6" w:themeFill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160">
    <w:name w:val="Lined - Accent"/>
    <w:basedOn w:val="12"/>
    <w:qFormat/>
    <w:uiPriority w:val="99"/>
    <w:pPr>
      <w:spacing w:after="0" w:line="240" w:lineRule="auto"/>
    </w:pPr>
    <w:rPr>
      <w:color w:val="404040"/>
      <w:sz w:val="20"/>
      <w:szCs w:val="20"/>
      <w:lang w:eastAsia="ru-RU"/>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1">
    <w:name w:val="Lined - Accent 1"/>
    <w:basedOn w:val="12"/>
    <w:qFormat/>
    <w:uiPriority w:val="99"/>
    <w:pPr>
      <w:spacing w:after="0" w:line="240" w:lineRule="auto"/>
    </w:pPr>
    <w:rPr>
      <w:color w:val="404040"/>
      <w:sz w:val="20"/>
      <w:szCs w:val="20"/>
      <w:lang w:eastAsia="ru-RU"/>
    </w:rPr>
    <w:tblStylePr w:type="firstRow">
      <w:rPr>
        <w:rFonts w:ascii="Arial" w:hAnsi="Arial"/>
        <w:color w:val="F2F2F2"/>
        <w:sz w:val="22"/>
      </w:rPr>
      <w:tcPr>
        <w:shd w:val="clear" w:color="68A3D8" w:themeColor="accent1" w:themeTint="EA" w:fill="68A3D8" w:themeFill="accent1" w:themeFillTint="EA"/>
      </w:tcPr>
    </w:tblStylePr>
    <w:tblStylePr w:type="lastRow">
      <w:rPr>
        <w:rFonts w:ascii="Arial" w:hAnsi="Arial"/>
        <w:color w:val="F2F2F2"/>
        <w:sz w:val="22"/>
      </w:rPr>
      <w:tcPr>
        <w:shd w:val="clear" w:color="68A3D8" w:themeColor="accent1" w:themeTint="EA" w:fill="68A3D8" w:themeFill="accent1" w:themeFillTint="EA"/>
      </w:tcPr>
    </w:tblStylePr>
    <w:tblStylePr w:type="firstCol">
      <w:rPr>
        <w:rFonts w:ascii="Arial" w:hAnsi="Arial"/>
        <w:color w:val="F2F2F2"/>
        <w:sz w:val="22"/>
      </w:rPr>
      <w:tcPr>
        <w:shd w:val="clear" w:color="68A3D8" w:themeColor="accent1" w:themeTint="EA" w:fill="68A3D8" w:themeFill="accent1" w:themeFillTint="EA"/>
      </w:tcPr>
    </w:tblStylePr>
    <w:tblStylePr w:type="lastCol">
      <w:rPr>
        <w:rFonts w:ascii="Arial" w:hAnsi="Arial"/>
        <w:color w:val="F2F2F2"/>
        <w:sz w:val="22"/>
      </w:rPr>
      <w:tcPr>
        <w:shd w:val="clear" w:color="68A3D8" w:themeColor="accent1" w:themeTint="EA" w:fill="68A3D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style>
  <w:style w:type="table" w:customStyle="1" w:styleId="162">
    <w:name w:val="Lined - Accent 2"/>
    <w:basedOn w:val="12"/>
    <w:qFormat/>
    <w:uiPriority w:val="99"/>
    <w:pPr>
      <w:spacing w:after="0" w:line="240" w:lineRule="auto"/>
    </w:pPr>
    <w:rPr>
      <w:color w:val="404040"/>
      <w:sz w:val="20"/>
      <w:szCs w:val="20"/>
      <w:lang w:eastAsia="ru-RU"/>
    </w:r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style>
  <w:style w:type="table" w:customStyle="1" w:styleId="163">
    <w:name w:val="Lined - Accent 3"/>
    <w:basedOn w:val="12"/>
    <w:qFormat/>
    <w:uiPriority w:val="99"/>
    <w:pPr>
      <w:spacing w:after="0" w:line="240" w:lineRule="auto"/>
    </w:pPr>
    <w:rPr>
      <w:color w:val="404040"/>
      <w:sz w:val="20"/>
      <w:szCs w:val="20"/>
      <w:lang w:eastAsia="ru-RU"/>
    </w:r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style>
  <w:style w:type="table" w:customStyle="1" w:styleId="164">
    <w:name w:val="Lined - Accent 4"/>
    <w:basedOn w:val="12"/>
    <w:qFormat/>
    <w:uiPriority w:val="99"/>
    <w:pPr>
      <w:spacing w:after="0" w:line="240" w:lineRule="auto"/>
    </w:pPr>
    <w:rPr>
      <w:color w:val="404040"/>
      <w:sz w:val="20"/>
      <w:szCs w:val="20"/>
      <w:lang w:eastAsia="ru-RU"/>
    </w:r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style>
  <w:style w:type="table" w:customStyle="1" w:styleId="165">
    <w:name w:val="Lined - Accent 5"/>
    <w:basedOn w:val="12"/>
    <w:qFormat/>
    <w:uiPriority w:val="99"/>
    <w:pPr>
      <w:spacing w:after="0" w:line="240" w:lineRule="auto"/>
    </w:pPr>
    <w:rPr>
      <w:color w:val="404040"/>
      <w:sz w:val="20"/>
      <w:szCs w:val="20"/>
      <w:lang w:eastAsia="ru-RU"/>
    </w:rPr>
    <w:tblStylePr w:type="firstRow">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tblStylePr w:type="firstCol">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8E2F2" w:themeColor="accent5" w:themeTint="34" w:fill="D8E2F2" w:themeFill="accent5" w:themeFillTint="34"/>
      </w:tcPr>
    </w:tblStylePr>
  </w:style>
  <w:style w:type="table" w:customStyle="1" w:styleId="166">
    <w:name w:val="Lined - Accent 6"/>
    <w:basedOn w:val="12"/>
    <w:qFormat/>
    <w:uiPriority w:val="99"/>
    <w:pPr>
      <w:spacing w:after="0" w:line="240" w:lineRule="auto"/>
    </w:pPr>
    <w:rPr>
      <w:color w:val="404040"/>
      <w:sz w:val="20"/>
      <w:szCs w:val="20"/>
      <w:lang w:eastAsia="ru-RU"/>
    </w:r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style>
  <w:style w:type="table" w:customStyle="1" w:styleId="167">
    <w:name w:val="Bordered &amp; Lined - Accent"/>
    <w:basedOn w:val="12"/>
    <w:qFormat/>
    <w:uiPriority w:val="99"/>
    <w:pPr>
      <w:spacing w:after="0" w:line="240" w:lineRule="auto"/>
    </w:pPr>
    <w:rPr>
      <w:color w:val="404040"/>
      <w:sz w:val="20"/>
      <w:szCs w:val="20"/>
      <w:lang w:eastAsia="ru-RU"/>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8">
    <w:name w:val="Bordered &amp; Lined - Accent 1"/>
    <w:basedOn w:val="12"/>
    <w:qFormat/>
    <w:uiPriority w:val="99"/>
    <w:pPr>
      <w:spacing w:after="0" w:line="240" w:lineRule="auto"/>
    </w:pPr>
    <w:rPr>
      <w:color w:val="404040"/>
      <w:sz w:val="20"/>
      <w:szCs w:val="20"/>
      <w:lang w:eastAsia="ru-RU"/>
    </w:rPr>
    <w:tblPr>
      <w:tblBorders>
        <w:top w:val="single" w:color="245B8D" w:themeColor="accent1" w:themeShade="95" w:sz="4" w:space="0"/>
        <w:left w:val="single" w:color="245B8D" w:themeColor="accent1" w:themeShade="95" w:sz="4" w:space="0"/>
        <w:bottom w:val="single" w:color="245B8D" w:themeColor="accent1" w:themeShade="95" w:sz="4" w:space="0"/>
        <w:right w:val="single" w:color="245B8D" w:themeColor="accent1" w:themeShade="95" w:sz="4" w:space="0"/>
        <w:insideH w:val="single" w:color="245B8D" w:themeColor="accent1" w:themeShade="95" w:sz="4" w:space="0"/>
        <w:insideV w:val="single" w:color="245B8D" w:themeColor="accent1" w:themeShade="95" w:sz="4" w:space="0"/>
      </w:tblBorders>
    </w:tblPr>
    <w:tblStylePr w:type="firstRow">
      <w:rPr>
        <w:rFonts w:ascii="Arial" w:hAnsi="Arial"/>
        <w:color w:val="F2F2F2"/>
        <w:sz w:val="22"/>
      </w:rPr>
      <w:tcPr>
        <w:shd w:val="clear" w:color="68A3D8" w:themeColor="accent1" w:themeTint="EA" w:fill="68A3D8" w:themeFill="accent1" w:themeFillTint="EA"/>
      </w:tcPr>
    </w:tblStylePr>
    <w:tblStylePr w:type="lastRow">
      <w:rPr>
        <w:rFonts w:ascii="Arial" w:hAnsi="Arial"/>
        <w:color w:val="F2F2F2"/>
        <w:sz w:val="22"/>
      </w:rPr>
      <w:tcPr>
        <w:shd w:val="clear" w:color="68A3D8" w:themeColor="accent1" w:themeTint="EA" w:fill="68A3D8" w:themeFill="accent1" w:themeFillTint="EA"/>
      </w:tcPr>
    </w:tblStylePr>
    <w:tblStylePr w:type="firstCol">
      <w:rPr>
        <w:rFonts w:ascii="Arial" w:hAnsi="Arial"/>
        <w:color w:val="F2F2F2"/>
        <w:sz w:val="22"/>
      </w:rPr>
      <w:tcPr>
        <w:shd w:val="clear" w:color="68A3D8" w:themeColor="accent1" w:themeTint="EA" w:fill="68A3D8" w:themeFill="accent1" w:themeFillTint="EA"/>
      </w:tcPr>
    </w:tblStylePr>
    <w:tblStylePr w:type="lastCol">
      <w:rPr>
        <w:rFonts w:ascii="Arial" w:hAnsi="Arial"/>
        <w:color w:val="F2F2F2"/>
        <w:sz w:val="22"/>
      </w:rPr>
      <w:tcPr>
        <w:shd w:val="clear" w:color="68A3D8" w:themeColor="accent1" w:themeTint="EA" w:fill="68A3D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style>
  <w:style w:type="table" w:customStyle="1" w:styleId="169">
    <w:name w:val="Bordered &amp; Lined - Accent 2"/>
    <w:basedOn w:val="12"/>
    <w:qFormat/>
    <w:uiPriority w:val="99"/>
    <w:pPr>
      <w:spacing w:after="0" w:line="240" w:lineRule="auto"/>
    </w:pPr>
    <w:rPr>
      <w:color w:val="404040"/>
      <w:sz w:val="20"/>
      <w:szCs w:val="20"/>
      <w:lang w:eastAsia="ru-RU"/>
    </w:rPr>
    <w:tblPr>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style>
  <w:style w:type="table" w:customStyle="1" w:styleId="170">
    <w:name w:val="Bordered &amp; Lined - Accent 3"/>
    <w:basedOn w:val="12"/>
    <w:qFormat/>
    <w:uiPriority w:val="99"/>
    <w:pPr>
      <w:spacing w:after="0" w:line="240" w:lineRule="auto"/>
    </w:pPr>
    <w:rPr>
      <w:color w:val="404040"/>
      <w:sz w:val="20"/>
      <w:szCs w:val="20"/>
      <w:lang w:eastAsia="ru-RU"/>
    </w:rPr>
    <w:tblPr>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style>
  <w:style w:type="table" w:customStyle="1" w:styleId="171">
    <w:name w:val="Bordered &amp; Lined - Accent 4"/>
    <w:basedOn w:val="12"/>
    <w:qFormat/>
    <w:uiPriority w:val="99"/>
    <w:pPr>
      <w:spacing w:after="0" w:line="240" w:lineRule="auto"/>
    </w:pPr>
    <w:rPr>
      <w:color w:val="404040"/>
      <w:sz w:val="20"/>
      <w:szCs w:val="20"/>
      <w:lang w:eastAsia="ru-RU"/>
    </w:rPr>
    <w:tblPr>
      <w:tblBorders>
        <w:top w:val="single" w:color="947000" w:themeColor="accent4" w:themeShade="95" w:sz="4" w:space="0"/>
        <w:left w:val="single" w:color="947000" w:themeColor="accent4" w:themeShade="95" w:sz="4" w:space="0"/>
        <w:bottom w:val="single" w:color="947000" w:themeColor="accent4" w:themeShade="95" w:sz="4" w:space="0"/>
        <w:right w:val="single" w:color="947000" w:themeColor="accent4" w:themeShade="95" w:sz="4" w:space="0"/>
        <w:insideH w:val="single" w:color="947000" w:themeColor="accent4" w:themeShade="95" w:sz="4" w:space="0"/>
        <w:insideV w:val="single" w:color="947000" w:themeColor="accent4" w:themeShade="95" w:sz="4" w:space="0"/>
      </w:tblBorders>
    </w:tbl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style>
  <w:style w:type="table" w:customStyle="1" w:styleId="172">
    <w:name w:val="Bordered &amp; Lined - Accent 5"/>
    <w:basedOn w:val="12"/>
    <w:qFormat/>
    <w:uiPriority w:val="99"/>
    <w:pPr>
      <w:spacing w:after="0" w:line="240" w:lineRule="auto"/>
    </w:pPr>
    <w:rPr>
      <w:color w:val="404040"/>
      <w:sz w:val="20"/>
      <w:szCs w:val="20"/>
      <w:lang w:eastAsia="ru-RU"/>
    </w:rPr>
    <w:tblPr>
      <w:tblBorders>
        <w:top w:val="single" w:color="244175" w:themeColor="accent5" w:themeShade="95" w:sz="4" w:space="0"/>
        <w:left w:val="single" w:color="244175" w:themeColor="accent5" w:themeShade="95" w:sz="4" w:space="0"/>
        <w:bottom w:val="single" w:color="244175" w:themeColor="accent5" w:themeShade="95" w:sz="4" w:space="0"/>
        <w:right w:val="single" w:color="244175" w:themeColor="accent5" w:themeShade="95" w:sz="4" w:space="0"/>
        <w:insideH w:val="single" w:color="244175" w:themeColor="accent5" w:themeShade="95" w:sz="4" w:space="0"/>
        <w:insideV w:val="single" w:color="244175" w:themeColor="accent5" w:themeShade="95" w:sz="4" w:space="0"/>
      </w:tblBorders>
    </w:tblPr>
    <w:tblStylePr w:type="firstRow">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tblStylePr w:type="firstCol">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8E2F2" w:themeColor="accent5" w:themeTint="34" w:fill="D8E2F2" w:themeFill="accent5" w:themeFillTint="34"/>
      </w:tcPr>
    </w:tblStylePr>
  </w:style>
  <w:style w:type="table" w:customStyle="1" w:styleId="173">
    <w:name w:val="Bordered &amp; Lined - Accent 6"/>
    <w:basedOn w:val="12"/>
    <w:qFormat/>
    <w:uiPriority w:val="99"/>
    <w:pPr>
      <w:spacing w:after="0" w:line="240" w:lineRule="auto"/>
    </w:pPr>
    <w:rPr>
      <w:color w:val="404040"/>
      <w:sz w:val="20"/>
      <w:szCs w:val="20"/>
      <w:lang w:eastAsia="ru-RU"/>
    </w:rPr>
    <w:tblPr>
      <w:tblBorders>
        <w:top w:val="single" w:color="416529" w:themeColor="accent6" w:themeShade="95" w:sz="4" w:space="0"/>
        <w:left w:val="single" w:color="416529" w:themeColor="accent6" w:themeShade="95" w:sz="4" w:space="0"/>
        <w:bottom w:val="single" w:color="416529" w:themeColor="accent6" w:themeShade="95" w:sz="4" w:space="0"/>
        <w:right w:val="single" w:color="416529" w:themeColor="accent6" w:themeShade="95" w:sz="4" w:space="0"/>
        <w:insideH w:val="single" w:color="416529" w:themeColor="accent6" w:themeShade="95" w:sz="4" w:space="0"/>
        <w:insideV w:val="single" w:color="416529" w:themeColor="accent6" w:themeShade="95" w:sz="4" w:space="0"/>
      </w:tblBorders>
    </w:tbl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style>
  <w:style w:type="table" w:customStyle="1" w:styleId="174">
    <w:name w:val="Bordered"/>
    <w:basedOn w:val="12"/>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75">
    <w:name w:val="Bordered - Accent 1"/>
    <w:basedOn w:val="12"/>
    <w:qFormat/>
    <w:uiPriority w:val="99"/>
    <w:pPr>
      <w:spacing w:after="0" w:line="240" w:lineRule="auto"/>
    </w:pPr>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rFonts w:ascii="Arial" w:hAnsi="Arial"/>
        <w:color w:val="404040"/>
        <w:sz w:val="22"/>
      </w:rPr>
      <w:tcPr>
        <w:tcBorders>
          <w:bottom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5B9BD5" w:themeColor="accent1" w:sz="12" w:space="0"/>
        </w:tcBorders>
      </w:tcPr>
    </w:tblStyle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style>
  <w:style w:type="table" w:customStyle="1" w:styleId="176">
    <w:name w:val="Bordered - Accent 2"/>
    <w:basedOn w:val="12"/>
    <w:qFormat/>
    <w:uiPriority w:val="99"/>
    <w:pPr>
      <w:spacing w:after="0" w:line="240" w:lineRule="auto"/>
    </w:p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rFonts w:ascii="Arial" w:hAnsi="Arial"/>
        <w:color w:val="404040"/>
        <w:sz w:val="22"/>
      </w:rPr>
      <w:tcPr>
        <w:tcBorders>
          <w:bottom w:val="single" w:color="F4B285" w:themeColor="accent2" w:themeTint="97" w:sz="12" w:space="0"/>
        </w:tcBorders>
      </w:tcPr>
    </w:tblStylePr>
    <w:tblStylePr w:type="lastRow">
      <w:rPr>
        <w:rFonts w:ascii="Arial" w:hAnsi="Arial"/>
        <w:color w:val="404040"/>
        <w:sz w:val="22"/>
      </w:rPr>
      <w:tcPr>
        <w:tcBorders>
          <w:top w:val="single" w:color="F4B28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4B285" w:themeColor="accent2" w:themeTint="97" w:sz="12" w:space="0"/>
        </w:tcBorders>
      </w:tcPr>
    </w:tblStyle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style>
  <w:style w:type="table" w:customStyle="1" w:styleId="177">
    <w:name w:val="Bordered - Accent 3"/>
    <w:basedOn w:val="12"/>
    <w:qFormat/>
    <w:uiPriority w:val="99"/>
    <w:pPr>
      <w:spacing w:after="0" w:line="240" w:lineRule="auto"/>
    </w:p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rFonts w:ascii="Arial" w:hAnsi="Arial"/>
        <w:color w:val="404040"/>
        <w:sz w:val="22"/>
      </w:rPr>
      <w:tcPr>
        <w:tcBorders>
          <w:bottom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9C9C9" w:themeColor="accent3" w:themeTint="98" w:sz="12" w:space="0"/>
        </w:tcBorders>
      </w:tcPr>
    </w:tblStyle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style>
  <w:style w:type="table" w:customStyle="1" w:styleId="178">
    <w:name w:val="Bordered - Accent 4"/>
    <w:basedOn w:val="12"/>
    <w:qFormat/>
    <w:uiPriority w:val="99"/>
    <w:pPr>
      <w:spacing w:after="0" w:line="240" w:lineRule="auto"/>
    </w:p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rFonts w:ascii="Arial" w:hAnsi="Arial"/>
        <w:color w:val="404040"/>
        <w:sz w:val="22"/>
      </w:rPr>
      <w:tcPr>
        <w:tcBorders>
          <w:bottom w:val="single" w:color="FFD864" w:themeColor="accent4" w:themeTint="9A" w:sz="12" w:space="0"/>
        </w:tcBorders>
      </w:tcPr>
    </w:tblStylePr>
    <w:tblStylePr w:type="lastRow">
      <w:rPr>
        <w:rFonts w:ascii="Arial" w:hAnsi="Arial"/>
        <w:color w:val="404040"/>
        <w:sz w:val="22"/>
      </w:rPr>
      <w:tcPr>
        <w:tcBorders>
          <w:top w:val="single" w:color="FFD864"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FD864" w:themeColor="accent4" w:themeTint="9A" w:sz="12" w:space="0"/>
        </w:tcBorders>
      </w:tcPr>
    </w:tblStylePr>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style>
  <w:style w:type="table" w:customStyle="1" w:styleId="179">
    <w:name w:val="Bordered - Accent 5"/>
    <w:basedOn w:val="12"/>
    <w:qFormat/>
    <w:uiPriority w:val="99"/>
    <w:pPr>
      <w:spacing w:after="0" w:line="240" w:lineRule="auto"/>
    </w:pPr>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Pr>
    <w:tblStylePr w:type="firstRow">
      <w:rPr>
        <w:rFonts w:ascii="Arial" w:hAnsi="Arial"/>
        <w:color w:val="404040"/>
        <w:sz w:val="22"/>
      </w:rPr>
      <w:tcPr>
        <w:tcBorders>
          <w:bottom w:val="single" w:color="8EA9DB" w:themeColor="accent5" w:themeTint="9A" w:sz="12" w:space="0"/>
        </w:tcBorders>
      </w:tcPr>
    </w:tblStylePr>
    <w:tblStylePr w:type="lastRow">
      <w:rPr>
        <w:rFonts w:ascii="Arial" w:hAnsi="Arial"/>
        <w:color w:val="404040"/>
        <w:sz w:val="22"/>
      </w:rPr>
      <w:tcPr>
        <w:tcBorders>
          <w:top w:val="single" w:color="8EA9DB"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8EA9DB" w:themeColor="accent5" w:themeTint="9A" w:sz="12" w:space="0"/>
        </w:tcBorders>
      </w:tcPr>
    </w:tblStylePr>
    <w:tblStylePr w:type="band1Horz">
      <w:rPr>
        <w:rFonts w:ascii="Arial" w:hAnsi="Arial"/>
        <w:color w:val="404040"/>
        <w:sz w:val="22"/>
      </w:r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style>
  <w:style w:type="table" w:customStyle="1" w:styleId="180">
    <w:name w:val="Bordered - Accent 6"/>
    <w:basedOn w:val="12"/>
    <w:qFormat/>
    <w:uiPriority w:val="99"/>
    <w:pPr>
      <w:spacing w:after="0" w:line="240" w:lineRule="auto"/>
    </w:p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rFonts w:ascii="Arial" w:hAnsi="Arial"/>
        <w:color w:val="404040"/>
        <w:sz w:val="22"/>
      </w:rPr>
      <w:tcPr>
        <w:tcBorders>
          <w:bottom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A9D08E" w:themeColor="accent6" w:themeTint="98" w:sz="12" w:space="0"/>
        </w:tcBorders>
      </w:tcPr>
    </w:tblStyle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style>
  <w:style w:type="character" w:customStyle="1" w:styleId="181">
    <w:name w:val="Footnote Text Char"/>
    <w:qFormat/>
    <w:uiPriority w:val="99"/>
    <w:rPr>
      <w:sz w:val="18"/>
    </w:rPr>
  </w:style>
  <w:style w:type="character" w:customStyle="1" w:styleId="182">
    <w:name w:val="Текст концевой сноски Знак"/>
    <w:link w:val="18"/>
    <w:qFormat/>
    <w:uiPriority w:val="99"/>
    <w:rPr>
      <w:sz w:val="20"/>
    </w:rPr>
  </w:style>
  <w:style w:type="paragraph" w:customStyle="1" w:styleId="183">
    <w:name w:val="TOC Heading"/>
    <w:unhideWhenUsed/>
    <w:qFormat/>
    <w:uiPriority w:val="39"/>
    <w:pPr>
      <w:spacing w:after="160" w:line="259" w:lineRule="auto"/>
    </w:pPr>
    <w:rPr>
      <w:rFonts w:asciiTheme="minorHAnsi" w:hAnsiTheme="minorHAnsi" w:eastAsiaTheme="minorHAnsi" w:cstheme="minorBidi"/>
      <w:sz w:val="22"/>
      <w:szCs w:val="22"/>
      <w:lang w:val="ru-RU" w:eastAsia="en-US" w:bidi="ar-SA"/>
    </w:rPr>
  </w:style>
  <w:style w:type="paragraph" w:customStyle="1" w:styleId="184">
    <w:name w:val="Стиль1"/>
    <w:basedOn w:val="1"/>
    <w:link w:val="185"/>
    <w:qFormat/>
    <w:uiPriority w:val="0"/>
    <w:pPr>
      <w:spacing w:after="0" w:line="240" w:lineRule="auto"/>
      <w:ind w:firstLine="426"/>
      <w:jc w:val="both"/>
    </w:pPr>
    <w:rPr>
      <w:rFonts w:ascii="Times New Roman" w:hAnsi="Times New Roman" w:eastAsia="Arial CYR" w:cs="Times New Roman"/>
      <w:bCs/>
      <w:sz w:val="24"/>
      <w:szCs w:val="24"/>
    </w:rPr>
  </w:style>
  <w:style w:type="character" w:customStyle="1" w:styleId="185">
    <w:name w:val="Стиль1 Знак"/>
    <w:basedOn w:val="11"/>
    <w:link w:val="184"/>
    <w:qFormat/>
    <w:uiPriority w:val="0"/>
    <w:rPr>
      <w:rFonts w:ascii="Times New Roman" w:hAnsi="Times New Roman" w:eastAsia="Arial CYR" w:cs="Times New Roman"/>
      <w:bCs/>
      <w:sz w:val="24"/>
      <w:szCs w:val="24"/>
    </w:rPr>
  </w:style>
  <w:style w:type="paragraph" w:customStyle="1" w:styleId="186">
    <w:name w:val="Стиль2"/>
    <w:basedOn w:val="1"/>
    <w:link w:val="187"/>
    <w:qFormat/>
    <w:uiPriority w:val="0"/>
    <w:pPr>
      <w:spacing w:line="240" w:lineRule="auto"/>
      <w:jc w:val="both"/>
    </w:pPr>
    <w:rPr>
      <w:rFonts w:ascii="Times New Roman" w:hAnsi="Times New Roman"/>
      <w:b/>
      <w:sz w:val="24"/>
    </w:rPr>
  </w:style>
  <w:style w:type="character" w:customStyle="1" w:styleId="187">
    <w:name w:val="Стиль2 Знак"/>
    <w:basedOn w:val="11"/>
    <w:link w:val="186"/>
    <w:qFormat/>
    <w:uiPriority w:val="0"/>
    <w:rPr>
      <w:rFonts w:ascii="Times New Roman" w:hAnsi="Times New Roman"/>
      <w:b/>
      <w:sz w:val="24"/>
    </w:rPr>
  </w:style>
  <w:style w:type="paragraph" w:customStyle="1" w:styleId="188">
    <w:name w:val="Стиль3"/>
    <w:link w:val="189"/>
    <w:qFormat/>
    <w:uiPriority w:val="0"/>
    <w:pPr>
      <w:spacing w:after="0" w:line="240" w:lineRule="auto"/>
      <w:jc w:val="center"/>
    </w:pPr>
    <w:rPr>
      <w:rFonts w:ascii="Times New Roman" w:hAnsi="Times New Roman" w:eastAsiaTheme="minorHAnsi" w:cstheme="minorBidi"/>
      <w:b/>
      <w:sz w:val="24"/>
      <w:szCs w:val="22"/>
      <w:lang w:val="ru-RU" w:eastAsia="en-US" w:bidi="ar-SA"/>
    </w:rPr>
  </w:style>
  <w:style w:type="character" w:customStyle="1" w:styleId="189">
    <w:name w:val="Стиль3 Знак"/>
    <w:basedOn w:val="11"/>
    <w:link w:val="188"/>
    <w:qFormat/>
    <w:uiPriority w:val="0"/>
    <w:rPr>
      <w:rFonts w:ascii="Times New Roman" w:hAnsi="Times New Roman"/>
      <w:b/>
      <w:sz w:val="24"/>
    </w:rPr>
  </w:style>
  <w:style w:type="character" w:customStyle="1" w:styleId="190">
    <w:name w:val="Верхний колонтитул Знак"/>
    <w:basedOn w:val="11"/>
    <w:link w:val="24"/>
    <w:qFormat/>
    <w:uiPriority w:val="99"/>
  </w:style>
  <w:style w:type="character" w:customStyle="1" w:styleId="191">
    <w:name w:val="Нижний колонтитул Знак"/>
    <w:basedOn w:val="11"/>
    <w:link w:val="35"/>
    <w:qFormat/>
    <w:uiPriority w:val="99"/>
  </w:style>
  <w:style w:type="paragraph" w:customStyle="1" w:styleId="192">
    <w:name w:val="Стиль4"/>
    <w:basedOn w:val="188"/>
    <w:link w:val="193"/>
    <w:qFormat/>
    <w:uiPriority w:val="0"/>
    <w:pPr>
      <w:jc w:val="both"/>
    </w:pPr>
    <w:rPr>
      <w:rFonts w:eastAsia="Calibri"/>
    </w:rPr>
  </w:style>
  <w:style w:type="character" w:customStyle="1" w:styleId="193">
    <w:name w:val="Стиль4 Знак"/>
    <w:basedOn w:val="189"/>
    <w:link w:val="192"/>
    <w:qFormat/>
    <w:uiPriority w:val="0"/>
    <w:rPr>
      <w:rFonts w:ascii="Times New Roman" w:hAnsi="Times New Roman" w:eastAsia="Calibri"/>
      <w:sz w:val="24"/>
    </w:rPr>
  </w:style>
  <w:style w:type="character" w:customStyle="1" w:styleId="194">
    <w:name w:val="Текст примечания Знак"/>
    <w:basedOn w:val="11"/>
    <w:link w:val="20"/>
    <w:semiHidden/>
    <w:qFormat/>
    <w:uiPriority w:val="99"/>
    <w:rPr>
      <w:sz w:val="20"/>
      <w:szCs w:val="20"/>
    </w:rPr>
  </w:style>
  <w:style w:type="character" w:customStyle="1" w:styleId="195">
    <w:name w:val="Тема примечания Знак"/>
    <w:basedOn w:val="194"/>
    <w:link w:val="21"/>
    <w:semiHidden/>
    <w:qFormat/>
    <w:uiPriority w:val="99"/>
    <w:rPr>
      <w:b/>
      <w:bCs/>
      <w:sz w:val="20"/>
      <w:szCs w:val="20"/>
    </w:rPr>
  </w:style>
  <w:style w:type="character" w:customStyle="1" w:styleId="196">
    <w:name w:val="Текст выноски Знак"/>
    <w:basedOn w:val="11"/>
    <w:link w:val="17"/>
    <w:semiHidden/>
    <w:qFormat/>
    <w:uiPriority w:val="99"/>
    <w:rPr>
      <w:rFonts w:ascii="Segoe UI" w:hAnsi="Segoe UI" w:cs="Segoe UI"/>
      <w:sz w:val="18"/>
      <w:szCs w:val="18"/>
    </w:rPr>
  </w:style>
  <w:style w:type="character" w:customStyle="1" w:styleId="197">
    <w:name w:val="Текст сноски Знак"/>
    <w:basedOn w:val="11"/>
    <w:link w:val="22"/>
    <w:semiHidden/>
    <w:qFormat/>
    <w:uiPriority w:val="99"/>
    <w:rPr>
      <w:sz w:val="20"/>
      <w:szCs w:val="20"/>
    </w:rPr>
  </w:style>
  <w:style w:type="paragraph" w:styleId="198">
    <w:name w:val="List Paragraph"/>
    <w:basedOn w:val="1"/>
    <w:qFormat/>
    <w:uiPriority w:val="34"/>
    <w:pPr>
      <w:ind w:left="720"/>
      <w:contextualSpacing/>
    </w:pPr>
  </w:style>
  <w:style w:type="character" w:customStyle="1" w:styleId="199">
    <w:name w:val="Неразрешенное упоминание1"/>
    <w:basedOn w:val="11"/>
    <w:semiHidden/>
    <w:unhideWhenUsed/>
    <w:qFormat/>
    <w:uiPriority w:val="99"/>
    <w:rPr>
      <w:color w:val="605E5C"/>
      <w:shd w:val="clear" w:color="auto" w:fill="E1DFDD"/>
    </w:rPr>
  </w:style>
  <w:style w:type="paragraph" w:styleId="200">
    <w:name w:val="No Spacing"/>
    <w:qFormat/>
    <w:uiPriority w:val="1"/>
    <w:pPr>
      <w:spacing w:after="0" w:line="240" w:lineRule="auto"/>
    </w:pPr>
    <w:rPr>
      <w:rFonts w:asciiTheme="minorHAnsi" w:hAnsiTheme="minorHAnsi" w:eastAsiaTheme="minorHAnsi" w:cstheme="minorBidi"/>
      <w:sz w:val="22"/>
      <w:szCs w:val="22"/>
      <w:lang w:val="ru-RU" w:eastAsia="en-US" w:bidi="ar-SA"/>
    </w:rPr>
  </w:style>
  <w:style w:type="character" w:customStyle="1" w:styleId="201">
    <w:name w:val="Unresolved Mention"/>
    <w:basedOn w:val="11"/>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B86944-37C1-4D03-B460-07E0EDD972E7}">
  <ds:schemaRefs/>
</ds:datastoreItem>
</file>

<file path=docProps/app.xml><?xml version="1.0" encoding="utf-8"?>
<Properties xmlns="http://schemas.openxmlformats.org/officeDocument/2006/extended-properties" xmlns:vt="http://schemas.openxmlformats.org/officeDocument/2006/docPropsVTypes">
  <Template>Normal</Template>
  <Company>Сбербанк России</Company>
  <Pages>23</Pages>
  <Words>12730</Words>
  <Characters>72562</Characters>
  <Lines>604</Lines>
  <Paragraphs>170</Paragraphs>
  <TotalTime>0</TotalTime>
  <ScaleCrop>false</ScaleCrop>
  <LinksUpToDate>false</LinksUpToDate>
  <CharactersWithSpaces>85122</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2023-12-19T08:08:00Z</dcterms:created>
  <dc:creator>user</dc:creator>
  <cp:lastModifiedBy>miyus.yua</cp:lastModifiedBy>
  <dcterms:modified xsi:type="dcterms:W3CDTF">2025-12-24T07:09:36Z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D8AA45FAF7CB48C9AF9ADA2768BDADF9_12</vt:lpwstr>
  </property>
</Properties>
</file>