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sibleDocument.xml" ContentType="application/vnd.openxmlformats-officedocument.wordprocessingml.commentsExtensible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peopleDocument.xml" ContentType="application/vnd.openxmlformats-officedocument.wordprocessingml.people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glossary/footnotes.xml" ContentType="application/vnd.openxmlformats-officedocument.wordprocessingml.foot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83"/>
        <w:ind w:left="0" w:firstLine="720"/>
        <w:jc w:val="center"/>
        <w:spacing w:before="0" w:line="113" w:lineRule="atLeast"/>
        <w:rPr>
          <w:rFonts w:ascii="Times New Roman" w:hAnsi="Times New Roman" w:cs="Times New Roman"/>
          <w:b/>
          <w:bCs/>
          <w:i w:val="0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sz w:val="22"/>
          <w:szCs w:val="22"/>
        </w:rPr>
        <w:t xml:space="preserve">ДОГОВОР УЧАСТИЯ В ДОЛЕВОМ СТРОИТЕЛЬСТВЕ </w:t>
      </w:r>
      <w:r>
        <w:rPr>
          <w:rFonts w:ascii="Times New Roman" w:hAnsi="Times New Roman" w:cs="Times New Roman"/>
          <w:b/>
          <w:bCs/>
          <w:i w:val="0"/>
          <w:sz w:val="22"/>
          <w:szCs w:val="22"/>
          <w:highlight w:val="yellow"/>
        </w:rPr>
        <w:t xml:space="preserve">№ ДДУ/Н</w:t>
      </w:r>
      <w:r>
        <w:rPr>
          <w:rFonts w:ascii="Times New Roman" w:hAnsi="Times New Roman" w:cs="Times New Roman"/>
          <w:b/>
          <w:bCs/>
          <w:i w:val="0"/>
          <w:sz w:val="22"/>
          <w:szCs w:val="22"/>
          <w:highlight w:val="yellow"/>
        </w:rPr>
        <w:t xml:space="preserve">З</w:t>
      </w:r>
      <w:r>
        <w:rPr>
          <w:rFonts w:ascii="Times New Roman" w:hAnsi="Times New Roman" w:cs="Times New Roman"/>
          <w:b/>
          <w:bCs/>
          <w:i w:val="0"/>
          <w:sz w:val="22"/>
          <w:szCs w:val="22"/>
        </w:rPr>
      </w:r>
      <w:r>
        <w:rPr>
          <w:rFonts w:ascii="Times New Roman" w:hAnsi="Times New Roman" w:cs="Times New Roman"/>
          <w:b/>
          <w:bCs/>
          <w:i w:val="0"/>
          <w:sz w:val="22"/>
          <w:szCs w:val="22"/>
        </w:rPr>
      </w:r>
    </w:p>
    <w:p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  <w:r>
        <w:rPr>
          <w:b/>
          <w:bCs/>
          <w:color w:val="000000"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205" w:type="dxa"/>
        <w:tblLayout w:type="fixed"/>
        <w:tblLook w:val="0000" w:firstRow="0" w:lastRow="0" w:firstColumn="0" w:lastColumn="0" w:noHBand="0" w:noVBand="0"/>
      </w:tblPr>
      <w:tblGrid>
        <w:gridCol w:w="4253"/>
        <w:gridCol w:w="5952"/>
      </w:tblGrid>
      <w:tr>
        <w:tblPrEx/>
        <w:trPr>
          <w:trHeight w:val="312"/>
        </w:trPr>
        <w:tc>
          <w:tcPr>
            <w:tcW w:w="4253" w:type="dxa"/>
            <w:textDirection w:val="lrTb"/>
            <w:noWrap w:val="false"/>
          </w:tcPr>
          <w:p>
            <w:pPr>
              <w:ind w:left="-108"/>
              <w:rPr>
                <w:sz w:val="24"/>
                <w:szCs w:val="24"/>
              </w:rPr>
            </w:pPr>
            <w:r/>
            <w:bookmarkStart w:id="0" w:name="_Hlk124841693"/>
            <w:r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 xml:space="preserve">Пермь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952" w:type="dxa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«____» __________ 20___ г.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bookmarkEnd w:id="0"/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</w:r>
    </w:p>
    <w:p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</w:r>
      <w:r>
        <w:rPr>
          <w:sz w:val="24"/>
          <w:szCs w:val="24"/>
          <w:lang w:val="en-US"/>
        </w:rPr>
      </w:r>
    </w:p>
    <w:p>
      <w:pPr>
        <w:ind w:firstLine="709"/>
        <w:jc w:val="both"/>
        <w:tabs>
          <w:tab w:val="right" w:pos="10065" w:leader="none"/>
        </w:tabs>
        <w:rPr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Общество с ограниченной ответственностью «Специализированный застройщик «</w:t>
      </w:r>
      <w:r>
        <w:rPr>
          <w:b/>
          <w:bCs/>
          <w:color w:val="000000" w:themeColor="text1"/>
          <w:sz w:val="24"/>
          <w:szCs w:val="24"/>
        </w:rPr>
        <w:t xml:space="preserve">Новый Звездный</w:t>
      </w:r>
      <w:r>
        <w:rPr>
          <w:b/>
          <w:bCs/>
          <w:color w:val="000000" w:themeColor="text1"/>
          <w:sz w:val="24"/>
          <w:szCs w:val="24"/>
        </w:rPr>
        <w:t xml:space="preserve">»</w:t>
      </w:r>
      <w:r>
        <w:rPr>
          <w:color w:val="000000" w:themeColor="text1"/>
          <w:sz w:val="24"/>
          <w:szCs w:val="24"/>
        </w:rPr>
        <w:t xml:space="preserve"> (далее – </w:t>
      </w:r>
      <w:r>
        <w:rPr>
          <w:b/>
          <w:bCs/>
          <w:color w:val="000000" w:themeColor="text1"/>
          <w:sz w:val="24"/>
          <w:szCs w:val="24"/>
        </w:rPr>
        <w:t xml:space="preserve">ООО «</w:t>
      </w:r>
      <w:r>
        <w:rPr>
          <w:b/>
          <w:bCs/>
          <w:color w:val="000000" w:themeColor="text1"/>
          <w:sz w:val="24"/>
          <w:szCs w:val="24"/>
        </w:rPr>
        <w:t xml:space="preserve">Новый Звездный</w:t>
      </w:r>
      <w:r>
        <w:rPr>
          <w:b/>
          <w:bCs/>
          <w:color w:val="000000" w:themeColor="text1"/>
          <w:sz w:val="24"/>
          <w:szCs w:val="24"/>
        </w:rPr>
        <w:t xml:space="preserve">»</w:t>
      </w:r>
      <w:r>
        <w:rPr>
          <w:color w:val="000000" w:themeColor="text1"/>
          <w:sz w:val="24"/>
          <w:szCs w:val="24"/>
        </w:rPr>
        <w:t xml:space="preserve">), </w:t>
      </w:r>
      <w:r>
        <w:rPr>
          <w:sz w:val="24"/>
          <w:szCs w:val="24"/>
        </w:rPr>
        <w:t xml:space="preserve">именуемое в дальнейшем </w:t>
      </w:r>
      <w:r>
        <w:rPr>
          <w:b/>
          <w:bCs/>
          <w:sz w:val="24"/>
          <w:szCs w:val="24"/>
        </w:rPr>
        <w:t xml:space="preserve">«ЗАСТРОЙЩИК»</w:t>
      </w:r>
      <w:r>
        <w:rPr>
          <w:sz w:val="24"/>
          <w:szCs w:val="24"/>
          <w:highlight w:val="white"/>
        </w:rPr>
        <w:t xml:space="preserve">,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 w:themeColor="text1"/>
          <w:sz w:val="24"/>
          <w:szCs w:val="24"/>
        </w:rPr>
        <w:t xml:space="preserve">в лице </w:t>
      </w:r>
      <w:r>
        <w:rPr>
          <w:color w:val="000000" w:themeColor="text1"/>
          <w:sz w:val="24"/>
          <w:szCs w:val="24"/>
        </w:rPr>
        <w:t xml:space="preserve">Д</w:t>
      </w:r>
      <w:r>
        <w:rPr>
          <w:color w:val="000000" w:themeColor="text1"/>
          <w:sz w:val="24"/>
          <w:szCs w:val="24"/>
        </w:rPr>
        <w:t xml:space="preserve">иректора </w:t>
      </w:r>
      <w:r>
        <w:rPr>
          <w:color w:val="000000" w:themeColor="text1"/>
          <w:sz w:val="24"/>
          <w:szCs w:val="24"/>
        </w:rPr>
        <w:t xml:space="preserve">Оборина Никиты Игоревича</w:t>
      </w:r>
      <w:r>
        <w:rPr>
          <w:color w:val="000000" w:themeColor="text1"/>
          <w:sz w:val="24"/>
          <w:szCs w:val="24"/>
        </w:rPr>
        <w:t xml:space="preserve">, действующего на основании Устава</w:t>
      </w:r>
      <w:r>
        <w:rPr>
          <w:color w:val="000000" w:themeColor="text1"/>
          <w:sz w:val="24"/>
          <w:szCs w:val="24"/>
        </w:rPr>
        <w:t xml:space="preserve">, </w:t>
      </w:r>
      <w:r>
        <w:rPr>
          <w:sz w:val="24"/>
          <w:szCs w:val="24"/>
        </w:rPr>
        <w:t xml:space="preserve"> с одной стороны, 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tabs>
          <w:tab w:val="right" w:pos="10065" w:leader="none"/>
        </w:tabs>
        <w:rPr>
          <w:sz w:val="24"/>
          <w:szCs w:val="24"/>
        </w:rPr>
      </w:pPr>
      <w:r>
        <w:rPr>
          <w:b/>
          <w:sz w:val="24"/>
          <w:szCs w:val="24"/>
          <w:highlight w:val="yellow"/>
        </w:rPr>
        <w:t xml:space="preserve">____________________</w:t>
      </w:r>
      <w:r>
        <w:rPr>
          <w:sz w:val="24"/>
          <w:szCs w:val="24"/>
          <w:highlight w:val="yellow"/>
        </w:rPr>
        <w:t xml:space="preserve">, _________ </w:t>
      </w:r>
      <w:r>
        <w:rPr>
          <w:sz w:val="24"/>
          <w:szCs w:val="24"/>
        </w:rPr>
        <w:t xml:space="preserve">года рождения, ИНН </w:t>
      </w:r>
      <w:r>
        <w:rPr>
          <w:sz w:val="24"/>
          <w:szCs w:val="24"/>
          <w:highlight w:val="yellow"/>
        </w:rPr>
        <w:t xml:space="preserve">______</w:t>
      </w:r>
      <w:r>
        <w:rPr>
          <w:sz w:val="24"/>
          <w:szCs w:val="24"/>
        </w:rPr>
        <w:t xml:space="preserve">, СНИЛС </w:t>
      </w:r>
      <w:r>
        <w:rPr>
          <w:sz w:val="24"/>
          <w:szCs w:val="24"/>
          <w:highlight w:val="yellow"/>
        </w:rPr>
        <w:t xml:space="preserve">______________</w:t>
      </w:r>
      <w:r>
        <w:rPr>
          <w:sz w:val="24"/>
          <w:szCs w:val="24"/>
        </w:rPr>
        <w:t xml:space="preserve">, паспорт Российской Федерации: серия </w:t>
      </w:r>
      <w:r>
        <w:rPr>
          <w:sz w:val="24"/>
          <w:szCs w:val="24"/>
          <w:highlight w:val="yellow"/>
        </w:rPr>
        <w:t xml:space="preserve">_____</w:t>
      </w:r>
      <w:r>
        <w:rPr>
          <w:sz w:val="24"/>
          <w:szCs w:val="24"/>
        </w:rPr>
        <w:t xml:space="preserve"> номер </w:t>
      </w:r>
      <w:r>
        <w:rPr>
          <w:sz w:val="24"/>
          <w:szCs w:val="24"/>
          <w:highlight w:val="yellow"/>
        </w:rPr>
        <w:t xml:space="preserve">_________</w:t>
      </w:r>
      <w:r>
        <w:rPr>
          <w:sz w:val="24"/>
          <w:szCs w:val="24"/>
        </w:rPr>
        <w:t xml:space="preserve">, выдан </w:t>
      </w:r>
      <w:r>
        <w:rPr>
          <w:sz w:val="24"/>
          <w:szCs w:val="24"/>
          <w:highlight w:val="yellow"/>
        </w:rPr>
        <w:t xml:space="preserve">_______ ___.___.20___г.</w:t>
      </w:r>
      <w:r>
        <w:rPr>
          <w:sz w:val="24"/>
          <w:szCs w:val="24"/>
        </w:rPr>
        <w:t xml:space="preserve">, код подразделения </w:t>
      </w:r>
      <w:r>
        <w:rPr>
          <w:sz w:val="24"/>
          <w:szCs w:val="24"/>
          <w:highlight w:val="yellow"/>
        </w:rPr>
        <w:t xml:space="preserve">_____</w:t>
      </w:r>
      <w:r>
        <w:rPr>
          <w:sz w:val="24"/>
          <w:szCs w:val="24"/>
        </w:rPr>
        <w:t xml:space="preserve">, зарегистрированный по адресу: </w:t>
      </w:r>
      <w:r>
        <w:rPr>
          <w:sz w:val="24"/>
          <w:szCs w:val="24"/>
          <w:highlight w:val="yellow"/>
        </w:rPr>
        <w:t xml:space="preserve">__________________</w:t>
      </w:r>
      <w:r>
        <w:rPr>
          <w:sz w:val="24"/>
          <w:szCs w:val="24"/>
        </w:rPr>
        <w:t xml:space="preserve">, именуемый в дальнейшем </w:t>
      </w:r>
      <w:r>
        <w:rPr>
          <w:b/>
          <w:sz w:val="24"/>
          <w:szCs w:val="24"/>
        </w:rPr>
        <w:t xml:space="preserve">«УЧАСТНИК ДОЛЕВОГО СТРОИТЕЛЬСТВА»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highlight w:val="white"/>
        </w:rPr>
        <w:t xml:space="preserve">с другой стороны, вместе именуемые </w:t>
      </w:r>
      <w:r>
        <w:rPr>
          <w:b/>
          <w:sz w:val="24"/>
          <w:szCs w:val="24"/>
          <w:highlight w:val="white"/>
        </w:rPr>
        <w:t xml:space="preserve">«Сторо</w:t>
      </w:r>
      <w:r>
        <w:rPr>
          <w:b/>
          <w:sz w:val="24"/>
          <w:szCs w:val="24"/>
        </w:rPr>
        <w:t xml:space="preserve">ны»</w:t>
      </w:r>
      <w:r>
        <w:rPr>
          <w:sz w:val="24"/>
          <w:szCs w:val="24"/>
        </w:rPr>
        <w:t xml:space="preserve">, заключили настоящий Договор о нижеследующем: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numPr>
          <w:ilvl w:val="0"/>
          <w:numId w:val="30"/>
        </w:numPr>
        <w:ind w:left="0" w:firstLine="0"/>
        <w:jc w:val="both"/>
        <w:tabs>
          <w:tab w:val="clear" w:pos="72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ТЕРМИНЫ И ТОЛКОВАНИЯ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1"/>
        <w:ind w:right="0" w:firstLine="709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Для целей настоящего Договора применяются следующие термины: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4"/>
          <w:szCs w:val="24"/>
        </w:rPr>
        <w:t xml:space="preserve">Закон № 214-ФЗ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–</w:t>
      </w:r>
      <w:r>
        <w:rPr>
          <w:sz w:val="24"/>
          <w:szCs w:val="24"/>
        </w:rPr>
        <w:t xml:space="preserve"> Федеральный закон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1"/>
          <w:numId w:val="1"/>
        </w:numPr>
        <w:ind w:left="709" w:hanging="709"/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 xml:space="preserve">Объект недвижимости </w:t>
      </w:r>
      <w:r>
        <w:rPr>
          <w:iCs/>
          <w:sz w:val="24"/>
          <w:szCs w:val="24"/>
        </w:rPr>
        <w:t xml:space="preserve">– </w:t>
      </w:r>
      <w:r>
        <w:rPr>
          <w:sz w:val="24"/>
          <w:szCs w:val="24"/>
        </w:rPr>
        <w:t xml:space="preserve">многоквартирный жилой комплекс по адресу: Пермский край, городской округ Пермский, город Пермь, мкр. Новые Ляды, ул. Трактовая, 25 (кадастровый номер земельного участка: 59:01:5110126:2078</w:t>
      </w:r>
      <w:r>
        <w:rPr>
          <w:sz w:val="24"/>
          <w:szCs w:val="24"/>
        </w:rPr>
        <w:t xml:space="preserve">), </w:t>
      </w:r>
      <w:r>
        <w:rPr>
          <w:bCs/>
          <w:sz w:val="24"/>
          <w:szCs w:val="24"/>
        </w:rPr>
        <w:t xml:space="preserve">х</w:t>
      </w:r>
      <w:r>
        <w:rPr>
          <w:bCs/>
          <w:sz w:val="24"/>
          <w:szCs w:val="24"/>
          <w:highlight w:val="white"/>
        </w:rPr>
        <w:t xml:space="preserve">арактеристики которого указаны в</w:t>
      </w:r>
      <w:r>
        <w:rPr>
          <w:bCs/>
          <w:sz w:val="24"/>
          <w:szCs w:val="24"/>
          <w:highlight w:val="white"/>
        </w:rPr>
        <w:t xml:space="preserve"> </w:t>
      </w:r>
      <w:r>
        <w:rPr>
          <w:bCs/>
          <w:sz w:val="24"/>
          <w:szCs w:val="24"/>
          <w:highlight w:val="white"/>
        </w:rPr>
        <w:t xml:space="preserve">Приложении № 1 к настоящему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Объект долевого строительства, Квартира </w:t>
      </w:r>
      <w:r>
        <w:rPr>
          <w:iCs/>
          <w:sz w:val="24"/>
          <w:szCs w:val="24"/>
        </w:rPr>
        <w:t xml:space="preserve">– жилое помещение</w:t>
      </w:r>
      <w:r>
        <w:rPr>
          <w:iCs/>
          <w:sz w:val="24"/>
          <w:szCs w:val="24"/>
        </w:rPr>
        <w:t xml:space="preserve">, подлежащее передаче УЧАСТНИКУ ДОЛЕВОГО СТРОИТЕЛЬСТВА после получения Разрешения на ввод в эксплуатацию Объекта недвижимости и входящее в состав указанного Объекта недвижимости. Характеристики Объекта долевого строительства указаны в пункте 3.2 Договора.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Передаточный акт – </w:t>
      </w:r>
      <w:r>
        <w:rPr>
          <w:sz w:val="24"/>
          <w:szCs w:val="24"/>
        </w:rPr>
        <w:t xml:space="preserve">документ, на основании которого осуществляется передача УЧАСТНИКУ ДОЛЕВОГО СТРОИТЕЛЬСТВА Объекта долевого строительства и принятие его УЧАСТНИКОМ ДОЛЕВОГО СТРОИТЕЛЬСТВА в соответствии с разделом 5 настоящего Договора.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  <w:highlight w:val="white"/>
        </w:rPr>
      </w:pPr>
      <w:r>
        <w:rPr>
          <w:b/>
          <w:bCs/>
          <w:iCs/>
          <w:sz w:val="24"/>
          <w:szCs w:val="24"/>
        </w:rPr>
        <w:t xml:space="preserve">Проектная общая приведенная площадь Объекта долевого строительства - </w:t>
      </w:r>
      <w:r>
        <w:rPr>
          <w:bCs/>
          <w:iCs/>
          <w:sz w:val="24"/>
          <w:szCs w:val="24"/>
        </w:rPr>
        <w:t xml:space="preserve">площадь по проекту, рассчитанная в соответствии с Приказом Минстроя России от 25 ноября 2016 г. № 854/</w:t>
      </w:r>
      <w:r>
        <w:rPr>
          <w:bCs/>
          <w:iCs/>
          <w:sz w:val="24"/>
          <w:szCs w:val="24"/>
        </w:rPr>
        <w:t xml:space="preserve">пр</w:t>
      </w:r>
      <w:r>
        <w:rPr>
          <w:bCs/>
          <w:iCs/>
          <w:sz w:val="24"/>
          <w:szCs w:val="24"/>
        </w:rPr>
        <w:t xml:space="preserve"> «</w:t>
      </w:r>
      <w:r>
        <w:rPr>
          <w:color w:val="000000"/>
          <w:sz w:val="24"/>
        </w:rPr>
        <w:t xml:space="preserve">Об установлении понижающих коэффициентов для расчета площади лоджии, веранды, балкона, террасы, используемой при расчете общей приведенной площади жилого помещения» (далее - </w:t>
      </w:r>
      <w:r>
        <w:rPr>
          <w:bCs/>
          <w:iCs/>
          <w:sz w:val="24"/>
          <w:szCs w:val="24"/>
        </w:rPr>
        <w:t xml:space="preserve">Приказ Минстроя России от 25 ноября 2016 г. № 854/</w:t>
      </w:r>
      <w:r>
        <w:rPr>
          <w:bCs/>
          <w:iCs/>
          <w:sz w:val="24"/>
          <w:szCs w:val="24"/>
        </w:rPr>
        <w:t xml:space="preserve">пр</w:t>
      </w:r>
      <w:r>
        <w:rPr>
          <w:bCs/>
          <w:iCs/>
          <w:sz w:val="24"/>
          <w:szCs w:val="24"/>
        </w:rPr>
        <w:t xml:space="preserve">), </w:t>
      </w:r>
      <w:r>
        <w:rPr>
          <w:sz w:val="24"/>
          <w:szCs w:val="24"/>
        </w:rPr>
        <w:t xml:space="preserve">состоящая из </w:t>
      </w:r>
      <w:r>
        <w:rPr>
          <w:sz w:val="24"/>
          <w:szCs w:val="24"/>
          <w:highlight w:val="white"/>
        </w:rPr>
        <w:t xml:space="preserve">площадей всех частей помещения, предусмотренная проектной документацией, включая площади помещений вспомогательного использования, предназначен</w:t>
      </w:r>
      <w:r>
        <w:rPr>
          <w:sz w:val="24"/>
          <w:szCs w:val="24"/>
          <w:highlight w:val="white"/>
        </w:rPr>
        <w:t xml:space="preserve">ных для удовлетворения гражданами личных, семейных, домашних и иных нужд, не связанных с осуществлением предпринимательской деятельности, а также при наличии лоджий и балконов, подсчитываемых со следующими коэффициентами: для лоджий – 0,5; балконов – 0,3.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41"/>
        <w:ind w:left="709" w:right="0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Определенная настоящим пунктом Проектная общая площадь Объекта применяется Сторонами для расчета цены Договора и может не совпадать с Общей приведенной площадью Объекта долевого строительства.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  <w:highlight w:val="white"/>
        </w:rPr>
      </w:pPr>
      <w:r>
        <w:rPr>
          <w:b/>
          <w:bCs/>
          <w:iCs/>
          <w:sz w:val="24"/>
          <w:szCs w:val="24"/>
        </w:rPr>
        <w:t xml:space="preserve">Общая приведенная площадь </w:t>
      </w:r>
      <w:r>
        <w:rPr>
          <w:sz w:val="24"/>
          <w:szCs w:val="24"/>
          <w:highlight w:val="white"/>
        </w:rPr>
        <w:t xml:space="preserve">Объекта долевого строительства – площадь, рассчитанная в соответствии с Приказом Минстроя России от 25 ноября 2016 г. № 854/</w:t>
      </w:r>
      <w:r>
        <w:rPr>
          <w:sz w:val="24"/>
          <w:szCs w:val="24"/>
          <w:highlight w:val="white"/>
        </w:rPr>
        <w:t xml:space="preserve">пр</w:t>
      </w:r>
      <w:r>
        <w:rPr>
          <w:sz w:val="24"/>
          <w:szCs w:val="24"/>
          <w:highlight w:val="white"/>
        </w:rPr>
        <w:t xml:space="preserve">, состоящая из суммы Общей площади жилого помещения и площади лоджии, веранды, балкона, террасы с понижающими коэффициен</w:t>
      </w:r>
      <w:r>
        <w:rPr>
          <w:sz w:val="24"/>
          <w:szCs w:val="24"/>
          <w:highlight w:val="white"/>
        </w:rPr>
        <w:t xml:space="preserve">тами, установленными федеральным органом исполнительной власти в соответствии с данными экспликации технического плана здания (Объекта недвижимости), изготовленного кадастровым инженером, имеющим действующий квалификационный аттестат кадастрового инженера.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Проектная общая площадь Объекта долевого строительства</w:t>
      </w:r>
      <w:r>
        <w:t xml:space="preserve"> – </w:t>
      </w:r>
      <w:r>
        <w:rPr>
          <w:color w:val="000000"/>
          <w:sz w:val="24"/>
          <w:szCs w:val="24"/>
        </w:rPr>
        <w:t xml:space="preserve">площадь по проекту в соответствии с ч. 5. ст. 15 Жилищного кодекса Российской Федерации без учета </w:t>
      </w:r>
      <w:r>
        <w:rPr>
          <w:color w:val="000000"/>
          <w:sz w:val="24"/>
          <w:szCs w:val="24"/>
        </w:rPr>
        <w:t xml:space="preserve">обмеров</w:t>
      </w:r>
      <w:r>
        <w:rPr>
          <w:color w:val="000000"/>
          <w:sz w:val="24"/>
          <w:szCs w:val="24"/>
        </w:rPr>
        <w:t xml:space="preserve"> произведенных кадастровым инженером, имеющим действующий квалификационный аттестат кадастрового инженера.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1"/>
        <w:ind w:left="360" w:right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41"/>
        <w:ind w:left="709" w:right="0"/>
        <w:tabs>
          <w:tab w:val="num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ПРАВОВОЕ ОБОСНОВАНИЕ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057"/>
        <w:ind w:left="709" w:hanging="709"/>
        <w:jc w:val="both"/>
        <w:keepNext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2.1.   Настоящий Договор заключен в соответствии с Гражданским кодексом Российской Федерации, Законом № 214-ФЗ.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57"/>
        <w:ind w:left="709" w:hanging="709"/>
        <w:jc w:val="both"/>
        <w:keepNext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2.2.      Правовым основанием для заключения настоящего Договора является: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56"/>
        <w:numPr>
          <w:ilvl w:val="0"/>
          <w:numId w:val="72"/>
        </w:numPr>
        <w:ind w:right="1"/>
        <w:jc w:val="both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Договор  аренды земельных участков № 135-22С от 29.11.2022 г., с учетом Дополнительного соглашения к договору аренды земельных участков №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135-22С от 29.11.2022, Дополнительного соглашения к договору аренды земельных участков №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135-22С от 23.10.2023, Дополнительного соглашения к договору аренды земельных участков №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135-22С от 27.12.2023,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Дополнительного соглашения к договору аренды земельных участков № 135-22С от 03.06.2025,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кадастровый номер 59:01:5110126:2078.  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1056"/>
        <w:numPr>
          <w:ilvl w:val="0"/>
          <w:numId w:val="72"/>
        </w:numPr>
        <w:ind w:right="1"/>
        <w:jc w:val="both"/>
        <w:keepNext w:val="0"/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Разрешение на строительство № 59-01-177-2023 от 19.12.2023, выданное Министерством </w:t>
        <w:br/>
        <w:t xml:space="preserve">по управлению имуществом и градостроительной деятельности Пермского края.</w:t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1056"/>
        <w:numPr>
          <w:ilvl w:val="0"/>
          <w:numId w:val="72"/>
        </w:numPr>
        <w:ind w:right="1"/>
        <w:jc w:val="both"/>
        <w:keepNext w:val="0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Проектная декларация, включающая в себя информацию о Застройщике и о проекте строительства Объекта, размещена в сети «Интернет» по адресу: </w:t>
      </w:r>
      <w:hyperlink r:id="rId20" w:tooltip="https://наш.дом.рф" w:history="1">
        <w:r>
          <w:rPr>
            <w:rStyle w:val="1267"/>
            <w:rFonts w:ascii="Times New Roman" w:hAnsi="Times New Roman"/>
            <w:b w:val="0"/>
            <w:bCs w:val="0"/>
            <w:color w:val="0070c0"/>
            <w:sz w:val="24"/>
            <w:szCs w:val="24"/>
          </w:rPr>
          <w:t xml:space="preserve">https://наш.дом.рф</w:t>
        </w:r>
      </w:hyperlink>
      <w:r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</w:p>
    <w:p>
      <w:pPr>
        <w:pStyle w:val="1057"/>
        <w:ind w:left="709" w:hanging="709"/>
        <w:jc w:val="both"/>
        <w:keepNext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2.3.     При заключении настоящего Договора Застройщик гарантирует УЧАСТНИКУ ДОЛЕВОГО СТРОИТЕЛЬСТВА, что все необходимые для заключения и исполнения 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настоящего Договора разрешения, иные документы и договоры от соответствующих и уполномоченных на их предоставление государственных органов и иных лиц Застройщиком получены и/или заключены, являются юридически действительными и вступившими в законную силу.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57"/>
        <w:ind w:left="709" w:hanging="709"/>
        <w:jc w:val="both"/>
        <w:keepNext w:val="0"/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2.4. </w:t>
        <w:tab/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УЧАСТНИК ДОЛЕВОГО СТРОИТЕЛЬСТВА настоящим подтверждает, что ознакомился в полном объеме с содержанием документов, указанных в настоящем разделе Договора.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r>
      <w:r/>
    </w:p>
    <w:p>
      <w:pPr>
        <w:ind w:left="720" w:hanging="1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ПРЕДМЕТ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ЗАСТРОЙЩИК обязуется в предусмотренный Договором срок своими силами или с привлечением других лиц построить (создать) Объект недвижимости и после получения Разрешения на ввод в эксплуатацию Объекта недвижимости передать соответствующий Объект д</w:t>
      </w:r>
      <w:r>
        <w:rPr>
          <w:iCs/>
          <w:sz w:val="24"/>
          <w:szCs w:val="24"/>
        </w:rPr>
        <w:t xml:space="preserve">олевого строительства УЧАСТНИКУ ДОЛЕВОГО СТРОИТЕЛЬСТВА, а УЧАСТНИК ДОЛЕВОГО СТРОИТЕЛЬСТВА обязуется уплатить обусловленную настоящим Договором Цену и при наличии Разрешения на ввод в эксплуатацию Объекта недвижимости принять Объект долевого строительства.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В </w:t>
      </w:r>
      <w:r>
        <w:rPr>
          <w:sz w:val="24"/>
          <w:szCs w:val="24"/>
          <w:highlight w:val="white"/>
        </w:rPr>
        <w:t xml:space="preserve">соответствии с настоящим Договором и на основании положений действующего законодательства у </w:t>
      </w:r>
      <w:r>
        <w:rPr>
          <w:iCs/>
          <w:sz w:val="24"/>
          <w:szCs w:val="24"/>
        </w:rPr>
        <w:t xml:space="preserve">УЧАСТНИКА ДОЛЕВОГО СТРОИТЕЛЬСТВА </w:t>
      </w:r>
      <w:r>
        <w:rPr>
          <w:sz w:val="24"/>
          <w:szCs w:val="24"/>
          <w:highlight w:val="white"/>
        </w:rPr>
        <w:t xml:space="preserve">в будущем возникнет </w:t>
      </w:r>
      <w:r>
        <w:rPr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  <w:highlight w:val="white"/>
        </w:rPr>
        <w:t xml:space="preserve"> право собственности на Объект долевого строительства, имеющий следующие основные характеристики: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0"/>
          <w:numId w:val="98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</w:rPr>
      </w:pPr>
      <w:r>
        <w:rPr>
          <w:sz w:val="24"/>
          <w:szCs w:val="24"/>
        </w:rPr>
        <w:t xml:space="preserve">Строительный адрес Объекта долевого строительства: </w:t>
      </w:r>
      <w:r>
        <w:rPr>
          <w:sz w:val="24"/>
          <w:szCs w:val="24"/>
        </w:rPr>
        <w:t xml:space="preserve">Пермский край, городской округ Пермский, город Пермь, мкр. Новые Ляды, ул. Трактовая, 25</w:t>
      </w:r>
      <w:r>
        <w:rPr>
          <w:sz w:val="24"/>
          <w:szCs w:val="24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78"/>
        <w:numPr>
          <w:ilvl w:val="0"/>
          <w:numId w:val="98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</w:rPr>
      </w:pPr>
      <w:r>
        <w:rPr>
          <w:sz w:val="24"/>
          <w:szCs w:val="24"/>
        </w:rPr>
        <w:t xml:space="preserve">Назначение помещения: квартира;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78"/>
        <w:numPr>
          <w:ilvl w:val="0"/>
          <w:numId w:val="98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  <w:vertAlign w:val="subscript"/>
        </w:rPr>
      </w:pPr>
      <w:r>
        <w:rPr>
          <w:sz w:val="24"/>
          <w:szCs w:val="24"/>
        </w:rPr>
        <w:t xml:space="preserve">Условный номер Объекта долевого строительства: </w:t>
      </w:r>
      <w:r>
        <w:rPr>
          <w:sz w:val="24"/>
          <w:szCs w:val="24"/>
          <w:highlight w:val="yellow"/>
        </w:rPr>
        <w:t xml:space="preserve">_____;</w:t>
      </w:r>
      <w:r>
        <w:rPr>
          <w:sz w:val="28"/>
          <w:szCs w:val="28"/>
          <w:vertAlign w:val="subscript"/>
        </w:rPr>
      </w:r>
      <w:r>
        <w:rPr>
          <w:sz w:val="28"/>
          <w:szCs w:val="28"/>
          <w:vertAlign w:val="subscript"/>
        </w:rPr>
      </w:r>
    </w:p>
    <w:p>
      <w:pPr>
        <w:pStyle w:val="1278"/>
        <w:numPr>
          <w:ilvl w:val="0"/>
          <w:numId w:val="98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</w:rPr>
      </w:pPr>
      <w:r>
        <w:rPr>
          <w:sz w:val="24"/>
          <w:szCs w:val="24"/>
        </w:rPr>
        <w:t xml:space="preserve">Этаж </w:t>
      </w:r>
      <w:r>
        <w:rPr>
          <w:sz w:val="24"/>
          <w:szCs w:val="24"/>
        </w:rPr>
        <w:t xml:space="preserve">расположения:</w:t>
      </w:r>
      <w:r>
        <w:rPr>
          <w:sz w:val="24"/>
          <w:szCs w:val="24"/>
          <w:highlight w:val="yellow"/>
        </w:rPr>
        <w:t xml:space="preserve">_</w:t>
      </w:r>
      <w:r>
        <w:rPr>
          <w:sz w:val="24"/>
          <w:szCs w:val="24"/>
          <w:highlight w:val="yellow"/>
        </w:rPr>
        <w:t xml:space="preserve">____;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78"/>
        <w:numPr>
          <w:ilvl w:val="0"/>
          <w:numId w:val="98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Номер подъезда (секция): </w:t>
      </w:r>
      <w:r>
        <w:rPr>
          <w:sz w:val="24"/>
          <w:szCs w:val="24"/>
          <w:highlight w:val="yellow"/>
        </w:rPr>
        <w:t xml:space="preserve">_____;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0"/>
          <w:numId w:val="149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Проектная общая приведенная площадь Объекта долевого строительства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highlight w:val="yellow"/>
        </w:rPr>
        <w:t xml:space="preserve">__ кв. м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0"/>
          <w:numId w:val="149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Проектная общая площадь Объекта долевого строительства: </w:t>
      </w:r>
      <w:r>
        <w:rPr>
          <w:sz w:val="24"/>
          <w:szCs w:val="24"/>
          <w:highlight w:val="yellow"/>
        </w:rPr>
        <w:t xml:space="preserve">___ </w:t>
      </w:r>
      <w:r>
        <w:rPr>
          <w:sz w:val="24"/>
          <w:szCs w:val="24"/>
          <w:highlight w:val="yellow"/>
        </w:rPr>
        <w:t xml:space="preserve">кв.м</w:t>
      </w:r>
      <w:r>
        <w:rPr>
          <w:sz w:val="24"/>
          <w:szCs w:val="24"/>
          <w:highlight w:val="yellow"/>
        </w:rPr>
        <w:t xml:space="preserve">;</w:t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1278"/>
        <w:numPr>
          <w:ilvl w:val="0"/>
          <w:numId w:val="149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  <w:highlight w:val="yellow"/>
        </w:rPr>
      </w:pPr>
      <w:r>
        <w:rPr>
          <w:sz w:val="24"/>
          <w:szCs w:val="24"/>
        </w:rPr>
        <w:t xml:space="preserve">Количество помещений вспомогательного использования: </w:t>
      </w:r>
      <w:r>
        <w:rPr>
          <w:sz w:val="24"/>
          <w:szCs w:val="24"/>
          <w:highlight w:val="yellow"/>
        </w:rPr>
        <w:t xml:space="preserve">___</w:t>
      </w:r>
      <w:r>
        <w:rPr>
          <w:sz w:val="24"/>
          <w:szCs w:val="24"/>
          <w:highlight w:val="yellow"/>
        </w:rPr>
        <w:t xml:space="preserve">;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1278"/>
        <w:numPr>
          <w:ilvl w:val="0"/>
          <w:numId w:val="149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</w:rPr>
      </w:pPr>
      <w:r>
        <w:rPr>
          <w:sz w:val="24"/>
          <w:szCs w:val="24"/>
        </w:rPr>
        <w:t xml:space="preserve">Проектная площадь помещений вспомогательного использования: </w:t>
      </w:r>
      <w:r>
        <w:rPr>
          <w:sz w:val="24"/>
          <w:szCs w:val="24"/>
          <w:highlight w:val="yellow"/>
        </w:rPr>
        <w:t xml:space="preserve">___ </w:t>
      </w:r>
      <w:r>
        <w:rPr>
          <w:sz w:val="24"/>
          <w:szCs w:val="24"/>
          <w:highlight w:val="yellow"/>
        </w:rPr>
        <w:t xml:space="preserve">кв.</w:t>
      </w:r>
      <w:r>
        <w:rPr>
          <w:sz w:val="24"/>
          <w:szCs w:val="24"/>
        </w:rPr>
        <w:t xml:space="preserve">м</w:t>
      </w:r>
      <w:r>
        <w:rPr>
          <w:sz w:val="24"/>
          <w:szCs w:val="24"/>
          <w:highlight w:val="yellow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78"/>
        <w:numPr>
          <w:ilvl w:val="0"/>
          <w:numId w:val="150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  <w:highlight w:val="yellow"/>
        </w:rPr>
      </w:pPr>
      <w:r>
        <w:rPr>
          <w:sz w:val="24"/>
          <w:szCs w:val="24"/>
        </w:rPr>
        <w:t xml:space="preserve">Количество летних помещений (лоджий, балконов): </w:t>
      </w:r>
      <w:r>
        <w:rPr>
          <w:sz w:val="24"/>
          <w:szCs w:val="24"/>
          <w:highlight w:val="yellow"/>
        </w:rPr>
        <w:t xml:space="preserve">___</w:t>
      </w:r>
      <w:r>
        <w:rPr>
          <w:sz w:val="24"/>
          <w:szCs w:val="24"/>
          <w:highlight w:val="yellow"/>
        </w:rPr>
        <w:t xml:space="preserve">;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1278"/>
        <w:numPr>
          <w:ilvl w:val="0"/>
          <w:numId w:val="150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</w:tabs>
        <w:rPr>
          <w:sz w:val="28"/>
          <w:szCs w:val="28"/>
        </w:rPr>
      </w:pPr>
      <w:r>
        <w:rPr>
          <w:sz w:val="24"/>
          <w:szCs w:val="24"/>
        </w:rPr>
        <w:t xml:space="preserve">Проектная площадь</w:t>
      </w:r>
      <w:r>
        <w:rPr>
          <w:sz w:val="24"/>
          <w:szCs w:val="24"/>
          <w:highlight w:val="white"/>
        </w:rPr>
        <w:t xml:space="preserve"> летних помещений (лоджий, балконов), с применением понижающих коэффициентов: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 xml:space="preserve">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кв.м</w:t>
      </w:r>
      <w:r>
        <w:rPr>
          <w:sz w:val="24"/>
          <w:szCs w:val="24"/>
          <w:highlight w:val="yellow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78"/>
        <w:numPr>
          <w:ilvl w:val="0"/>
          <w:numId w:val="149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  <w:tab w:val="left" w:pos="378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Количество комнат:</w:t>
      </w:r>
      <w:r>
        <w:rPr>
          <w:sz w:val="24"/>
          <w:szCs w:val="24"/>
          <w:highlight w:val="yellow"/>
        </w:rPr>
        <w:t xml:space="preserve"> _____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0"/>
          <w:numId w:val="149"/>
        </w:num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  <w:tab w:val="left" w:pos="378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Проектная Площадь комнат (комнаты): </w:t>
      </w:r>
      <w:r>
        <w:rPr>
          <w:sz w:val="24"/>
          <w:szCs w:val="24"/>
          <w:highlight w:val="yellow"/>
        </w:rPr>
        <w:t xml:space="preserve">___</w:t>
      </w:r>
      <w:r>
        <w:rPr>
          <w:sz w:val="24"/>
          <w:szCs w:val="24"/>
        </w:rPr>
        <w:t xml:space="preserve"> кв. м (в соответствии с разделом 2.2 Приложения № 2 к настоящему Договору).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 w:val="0"/>
        <w:ind w:left="709" w:firstLine="0"/>
        <w:jc w:val="both"/>
        <w:spacing w:line="283" w:lineRule="atLeast"/>
        <w:shd w:val="clear" w:color="auto" w:fill="ffffff"/>
        <w:tabs>
          <w:tab w:val="left" w:pos="567" w:leader="none"/>
          <w:tab w:val="left" w:pos="1276" w:leader="none"/>
          <w:tab w:val="left" w:pos="378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ind w:right="0" w:firstLine="720"/>
        <w:spacing w:line="283" w:lineRule="atLeast"/>
        <w:tabs>
          <w:tab w:val="left" w:pos="2398" w:leader="none"/>
        </w:tabs>
        <w:rPr>
          <w:iCs/>
          <w:sz w:val="24"/>
          <w:szCs w:val="24"/>
        </w:rPr>
      </w:pPr>
      <w:r>
        <w:rPr>
          <w:color w:val="000000"/>
          <w:sz w:val="24"/>
          <w:szCs w:val="24"/>
        </w:rPr>
        <w:t xml:space="preserve">В Объекте долевого строительства отделочные и специальные работы не производятся.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</w:pPr>
      <w:r>
        <w:rPr>
          <w:iCs/>
          <w:sz w:val="24"/>
          <w:szCs w:val="24"/>
        </w:rPr>
        <w:t xml:space="preserve">Указанный адрес Объекта недвижимости является строительным адресом. По окончании строительства Объекту недвижимости будет присвоен почтовый адрес.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ind w:left="709" w:right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Характеристики </w:t>
      </w:r>
      <w:r>
        <w:rPr>
          <w:sz w:val="24"/>
          <w:szCs w:val="24"/>
        </w:rPr>
        <w:t xml:space="preserve">Объекта долевого строительства</w:t>
      </w:r>
      <w:r>
        <w:rPr>
          <w:iCs/>
          <w:sz w:val="24"/>
          <w:szCs w:val="24"/>
        </w:rPr>
        <w:t xml:space="preserve"> являются проектными. На основании данных кадастрового инженера, полученных после обмеров завершенного строительством Объекта недвижимости, </w:t>
      </w:r>
      <w:r>
        <w:rPr>
          <w:sz w:val="24"/>
          <w:szCs w:val="24"/>
        </w:rPr>
        <w:t xml:space="preserve">Объекту долевого строительства</w:t>
      </w:r>
      <w:r>
        <w:rPr>
          <w:iCs/>
          <w:sz w:val="24"/>
          <w:szCs w:val="24"/>
        </w:rPr>
        <w:t xml:space="preserve"> присваивается фактический номер</w:t>
      </w:r>
      <w:r>
        <w:rPr>
          <w:sz w:val="24"/>
          <w:szCs w:val="24"/>
        </w:rPr>
        <w:t xml:space="preserve">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Право собственности УЧАСТНИКА ДОЛЕВОГО СТРОИТЕЛЬСТВА на Объект долевого строительс</w:t>
      </w:r>
      <w:r>
        <w:rPr>
          <w:sz w:val="24"/>
          <w:szCs w:val="24"/>
        </w:rPr>
        <w:t xml:space="preserve">тва подлежит государственной регистрации в порядке, предусмотренном законодательством Российской Федерации, и возникает с момента государственной регистрации в органах, осуществляющих государственную регистрацию прав на недвижимое имущество и сделок с ним.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Право на </w:t>
      </w:r>
      <w:r>
        <w:rPr>
          <w:sz w:val="24"/>
          <w:szCs w:val="24"/>
        </w:rPr>
        <w:t xml:space="preserve">оформление в собственность Объекта долевого строительства возникает у 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ind w:left="720" w:right="0" w:hanging="578"/>
        <w:tabs>
          <w:tab w:val="num" w:pos="76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ind w:left="720" w:right="0" w:hanging="578"/>
        <w:tabs>
          <w:tab w:val="num" w:pos="765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9"/>
        <w:numPr>
          <w:ilvl w:val="0"/>
          <w:numId w:val="1"/>
        </w:numPr>
        <w:ind w:left="0" w:firstLine="0"/>
        <w:jc w:val="both"/>
        <w:spacing w:line="240" w:lineRule="auto"/>
        <w:widowControl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ЦЕНА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sz w:val="24"/>
          <w:szCs w:val="24"/>
        </w:rPr>
        <w:t xml:space="preserve">На момент подписания настоящего договора Цена Договора составляет </w:t>
      </w:r>
      <w:r>
        <w:rPr>
          <w:b/>
          <w:sz w:val="24"/>
          <w:szCs w:val="24"/>
          <w:highlight w:val="yellow"/>
        </w:rPr>
        <w:t xml:space="preserve">____________</w:t>
      </w:r>
      <w:r>
        <w:rPr>
          <w:b/>
          <w:bCs/>
          <w:iCs/>
          <w:sz w:val="24"/>
          <w:szCs w:val="24"/>
        </w:rPr>
        <w:t xml:space="preserve"> рублей 00 копеек</w:t>
      </w:r>
      <w:r>
        <w:rPr>
          <w:iCs/>
          <w:sz w:val="24"/>
          <w:szCs w:val="24"/>
        </w:rPr>
        <w:t xml:space="preserve">, что соответствует долевому участию в строительстве </w:t>
      </w:r>
      <w:r>
        <w:rPr>
          <w:iCs/>
          <w:sz w:val="24"/>
          <w:szCs w:val="24"/>
          <w:highlight w:val="yellow"/>
        </w:rPr>
        <w:t xml:space="preserve">_____</w:t>
      </w:r>
      <w:r>
        <w:rPr>
          <w:iCs/>
          <w:sz w:val="24"/>
          <w:szCs w:val="24"/>
        </w:rPr>
        <w:t xml:space="preserve">кв.м. Проектной общей приведенной площади Объекта долевого строительства из расчета </w:t>
      </w:r>
      <w:r>
        <w:rPr>
          <w:iCs/>
          <w:sz w:val="24"/>
          <w:szCs w:val="24"/>
          <w:highlight w:val="yellow"/>
        </w:rPr>
        <w:t xml:space="preserve">_____________</w:t>
      </w:r>
      <w:r>
        <w:rPr>
          <w:b/>
          <w:bCs/>
          <w:iCs/>
          <w:sz w:val="24"/>
          <w:szCs w:val="24"/>
        </w:rPr>
        <w:t xml:space="preserve">рублей 00 копеек </w:t>
      </w:r>
      <w:r>
        <w:rPr>
          <w:iCs/>
          <w:sz w:val="24"/>
          <w:szCs w:val="24"/>
        </w:rPr>
        <w:t xml:space="preserve">за один квадратный метр </w:t>
      </w:r>
      <w:r>
        <w:rPr>
          <w:bCs/>
          <w:iCs/>
          <w:sz w:val="24"/>
          <w:szCs w:val="24"/>
        </w:rPr>
        <w:t xml:space="preserve">Проектной общей приведенной площади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Объекта долевого строительства</w:t>
      </w:r>
      <w:r>
        <w:rPr>
          <w:iCs/>
          <w:sz w:val="24"/>
          <w:szCs w:val="24"/>
        </w:rPr>
        <w:t xml:space="preserve">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Цена Договора, указанная в п. 4.1., подлежит изменению в случаях, предусмотренных настоящим Договором.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Оплата Цены договора производится УЧАСТНИКОМ ДОЛЕВОГО СТРОИТЕЛЬСТВА с использованием специального счета эскроу в следующем порядке: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4.3.1. Сумма в размере </w:t>
      </w:r>
      <w:r>
        <w:rPr>
          <w:sz w:val="24"/>
          <w:szCs w:val="24"/>
          <w:highlight w:val="yellow"/>
        </w:rPr>
        <w:t xml:space="preserve">__________ (__________________)</w:t>
      </w:r>
      <w:r>
        <w:rPr>
          <w:sz w:val="24"/>
          <w:szCs w:val="24"/>
        </w:rPr>
        <w:t xml:space="preserve"> рублей 00 копеек оплачивается УЧАСТНИ</w:t>
      </w:r>
      <w:r>
        <w:rPr>
          <w:sz w:val="24"/>
          <w:szCs w:val="24"/>
        </w:rPr>
        <w:t xml:space="preserve">КОМ ДОЛЕВОГО СТРОИТЕЛЬСТВА за счет собственных денежных средств, не являющихся заемными/кредитными денежными средствами в качестве первоначального взноса, путем внесения денежных средств на открытый в уполномоченном банке (Эскроу-агент) счет эскроу в срок </w:t>
      </w:r>
      <w:r>
        <w:rPr>
          <w:b/>
          <w:bCs/>
          <w:i/>
          <w:iCs/>
          <w:sz w:val="24"/>
          <w:szCs w:val="24"/>
        </w:rPr>
        <w:t xml:space="preserve">не позднее 5 (Пяти) рабочих дней с даты государственной регистрации настоящего Договора;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4.3.2. Сумма в размере </w:t>
      </w:r>
      <w:r>
        <w:rPr>
          <w:sz w:val="24"/>
          <w:szCs w:val="24"/>
          <w:highlight w:val="yellow"/>
        </w:rPr>
        <w:t xml:space="preserve">_______________ (____________________________)</w:t>
      </w:r>
      <w:r>
        <w:rPr>
          <w:sz w:val="24"/>
          <w:szCs w:val="24"/>
        </w:rPr>
        <w:t xml:space="preserve"> рублей 00 копеек оплачивается </w:t>
      </w:r>
      <w:r>
        <w:rPr>
          <w:b/>
          <w:bCs/>
          <w:i/>
          <w:iCs/>
          <w:sz w:val="24"/>
          <w:szCs w:val="24"/>
        </w:rPr>
        <w:t xml:space="preserve">не позднее 5 (Пяти) рабочих дней с даты государственной регистрации настоящего Договора </w:t>
      </w:r>
      <w:r>
        <w:rPr>
          <w:sz w:val="24"/>
          <w:szCs w:val="24"/>
        </w:rPr>
        <w:t xml:space="preserve">за счет кредитных средств, предоставленных УЧАСТНИКУ ДОЛЕВОГО СТРОИТЕЛЬСТВА Публичным акционерным обществом «</w:t>
      </w:r>
      <w:r>
        <w:rPr>
          <w:sz w:val="24"/>
          <w:szCs w:val="24"/>
          <w:highlight w:val="white"/>
        </w:rPr>
        <w:t xml:space="preserve">Банк ПСБ</w:t>
      </w:r>
      <w:r>
        <w:rPr>
          <w:sz w:val="24"/>
          <w:szCs w:val="24"/>
        </w:rPr>
        <w:t xml:space="preserve">», зарегистрированным Центральным Банком Ро</w:t>
      </w:r>
      <w:r>
        <w:rPr>
          <w:sz w:val="24"/>
          <w:szCs w:val="24"/>
        </w:rPr>
        <w:t xml:space="preserve">ссийской Федерации 16 июля 2001 года за № 3251, Генеральная лицензия Центрального банка Российской Федерации на совершение банковских операций № 3251 от 17.12.2014 года, ИНН 7744000912, внесенное Межрайонной инспекцией Министерства Российской Федерации по </w:t>
      </w:r>
      <w:r>
        <w:rPr>
          <w:sz w:val="24"/>
          <w:szCs w:val="24"/>
          <w:highlight w:val="white"/>
        </w:rPr>
        <w:t xml:space="preserve">налогам и сборам № 39 по г. Москве в Единый государственный реестр юридических лиц 26 июля 2002 го</w:t>
      </w:r>
      <w:r>
        <w:rPr>
          <w:sz w:val="24"/>
          <w:szCs w:val="24"/>
          <w:highlight w:val="white"/>
        </w:rPr>
        <w:t xml:space="preserve">да за основным государственным регистрационным номером 1027739019142, местонахождение: 150003, Ярославская область, г. Ярославль, ул. Республиканская, д. 16, корреспондентский счет: № 30101810400000000555 в ГУ Банка России по ЦФО (далее по тексту – «Банк» </w:t>
      </w:r>
      <w:r>
        <w:rPr>
          <w:sz w:val="24"/>
          <w:szCs w:val="24"/>
          <w:highlight w:val="white"/>
        </w:rPr>
        <w:br/>
        <w:t xml:space="preserve">или «Кредитор», или «Исполняющий Банк», или «Эскроу-агент» в зависимости от контекста) на основании Кредитного договора № </w:t>
      </w:r>
      <w:r>
        <w:rPr>
          <w:sz w:val="24"/>
          <w:szCs w:val="24"/>
          <w:highlight w:val="yellow"/>
        </w:rPr>
        <w:t xml:space="preserve">_____ от _____ </w:t>
      </w:r>
      <w:r>
        <w:rPr>
          <w:sz w:val="24"/>
          <w:szCs w:val="24"/>
          <w:highlight w:val="white"/>
        </w:rPr>
        <w:t xml:space="preserve">г. (далее – Кредитный договор), заключенного в городе </w:t>
      </w:r>
      <w:r>
        <w:rPr>
          <w:sz w:val="24"/>
          <w:szCs w:val="24"/>
          <w:highlight w:val="yellow"/>
        </w:rPr>
        <w:t xml:space="preserve">Перми</w:t>
      </w:r>
      <w:r>
        <w:rPr>
          <w:sz w:val="24"/>
          <w:szCs w:val="24"/>
          <w:highlight w:val="yellow"/>
        </w:rPr>
        <w:t xml:space="preserve"> </w:t>
      </w:r>
      <w:r>
        <w:rPr>
          <w:sz w:val="24"/>
          <w:szCs w:val="24"/>
          <w:highlight w:val="white"/>
        </w:rPr>
        <w:t xml:space="preserve">между Банком и УЧАСТНИКОМ ДОЛЕВОГО СТРОИТЕЛЬСТВА.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Кредит, согласно Кредитному договору, предоставляется Кредитором УЧАСТНИКУ </w:t>
      </w:r>
      <w:r>
        <w:rPr>
          <w:sz w:val="24"/>
          <w:szCs w:val="24"/>
        </w:rPr>
        <w:t xml:space="preserve">ДОЛЕВОГО СТРОИТЕЛЬСТВА </w:t>
      </w:r>
      <w:r>
        <w:rPr>
          <w:sz w:val="24"/>
          <w:szCs w:val="24"/>
          <w:highlight w:val="white"/>
        </w:rPr>
        <w:t xml:space="preserve">для целей приобретения Объекта долевого строительства путем участия в долевом </w:t>
      </w:r>
      <w:r>
        <w:rPr>
          <w:sz w:val="24"/>
          <w:szCs w:val="24"/>
          <w:highlight w:val="white"/>
        </w:rPr>
        <w:t xml:space="preserve">строительстве  Объекта</w:t>
      </w:r>
      <w:r>
        <w:rPr>
          <w:sz w:val="24"/>
          <w:szCs w:val="24"/>
          <w:highlight w:val="white"/>
        </w:rPr>
        <w:t xml:space="preserve"> недвижимости в размере </w:t>
      </w:r>
      <w:r>
        <w:rPr>
          <w:sz w:val="24"/>
          <w:szCs w:val="24"/>
          <w:highlight w:val="yellow"/>
        </w:rPr>
        <w:t xml:space="preserve">_________ </w:t>
      </w:r>
      <w:r>
        <w:rPr>
          <w:sz w:val="24"/>
          <w:szCs w:val="24"/>
          <w:highlight w:val="white"/>
        </w:rPr>
        <w:t xml:space="preserve">рублей 00 копеек.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709" w:right="0" w:firstLine="0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С</w:t>
      </w:r>
      <w:r>
        <w:rPr>
          <w:sz w:val="24"/>
          <w:szCs w:val="24"/>
          <w:highlight w:val="none"/>
        </w:rPr>
        <w:t xml:space="preserve">рок действия Кредитного договора, обеспеченного ипотекой, и срок возврата кредита: Кредитный договор вступает в силу с даты подписания Сторонами Индивидуальных условий и действует до полного исполнения Сторонами обязательств по нему, срок кредитования: ___</w:t>
      </w:r>
      <w:r>
        <w:rPr>
          <w:sz w:val="24"/>
          <w:szCs w:val="24"/>
          <w:highlight w:val="none"/>
        </w:rPr>
        <w:t xml:space="preserve">__ месяцев.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Права требования по настоящему Договору находятся в залоге у Банка в силу закона с момента государственной регистрации залога (ипотеки) на права требования в Едином государственном реестре недвижимости. УЧАСТНИК ДОЛЕВОГО СТРОИТЕЛЬСТВА обязан обратиться</w:t>
      </w:r>
      <w:r>
        <w:rPr>
          <w:sz w:val="24"/>
          <w:szCs w:val="24"/>
          <w:highlight w:val="none"/>
        </w:rPr>
        <w:t xml:space="preserve"> в орган, осуществляющий государственную регистрацию прав, с заявлением о государственной регистрации такой ипотеки при регистрации настоящего Договора (в отношении ипотеки прав требования по настоящему Договору).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709" w:right="0" w:firstLine="0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Залог прав требований действует до момента государственной регистрации права собственности УЧАСТНИКА ДОЛЕВОГО СТРОИТЕЛЬСТВА на Объект долевого строительства, право получения которого было оплачено частично за счет кредита, предоставленного Банком.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Настоящим Застройщик дает согласие на передачу прав требования УЧАСТНИКУ </w:t>
      </w:r>
      <w:r>
        <w:rPr>
          <w:sz w:val="24"/>
          <w:szCs w:val="24"/>
        </w:rPr>
        <w:t xml:space="preserve">ДОЛЕВОГО СТРОИТЕЛЬСТВА </w:t>
      </w:r>
      <w:r>
        <w:rPr>
          <w:sz w:val="24"/>
          <w:szCs w:val="24"/>
          <w:highlight w:val="white"/>
        </w:rPr>
        <w:t xml:space="preserve">по настоящему Договору в залог Банку в обеспечение исполнения обязательств УЧАСТНИКА </w:t>
      </w:r>
      <w:r>
        <w:rPr>
          <w:sz w:val="24"/>
          <w:szCs w:val="24"/>
        </w:rPr>
        <w:t xml:space="preserve">ДОЛЕВОГО СТРОИТЕЛЬСТВА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br/>
        <w:t xml:space="preserve">как заемщика/солидарных заемщиков по Кредитному договору.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Для оплаты Цены договора, указанной в п. 4.1. настоящего Договора, за счет собственных и кредитных денежных средств, УЧАСТНИК </w:t>
      </w:r>
      <w:r>
        <w:rPr>
          <w:sz w:val="24"/>
          <w:szCs w:val="24"/>
        </w:rPr>
        <w:t xml:space="preserve">ДОЛЕВОГО СТРОИТЕЛЬСТВА </w:t>
      </w:r>
      <w:r>
        <w:rPr>
          <w:sz w:val="24"/>
          <w:szCs w:val="24"/>
          <w:highlight w:val="white"/>
        </w:rPr>
        <w:t xml:space="preserve">за свой счет и своими силами обязуется открыть в </w:t>
      </w:r>
      <w:r>
        <w:rPr>
          <w:b/>
          <w:bCs/>
          <w:i/>
          <w:iCs/>
          <w:sz w:val="24"/>
          <w:szCs w:val="24"/>
          <w:highlight w:val="white"/>
        </w:rPr>
        <w:t xml:space="preserve">течение 5 (Пяти) рабочих дней</w:t>
      </w:r>
      <w:r>
        <w:rPr>
          <w:sz w:val="24"/>
          <w:szCs w:val="24"/>
          <w:highlight w:val="white"/>
        </w:rPr>
        <w:t xml:space="preserve"> с даты подписания сторонами настоящего Договора аккредитив в Исполняющем Банке на следующих условиях: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Вид аккредитива - безотзывный, покрытый; - сумма аккредитива -</w:t>
      </w:r>
      <w:r>
        <w:rPr>
          <w:sz w:val="24"/>
          <w:szCs w:val="24"/>
          <w:highlight w:val="yellow"/>
        </w:rPr>
        <w:t xml:space="preserve">______________ (__________________) </w:t>
      </w:r>
      <w:r>
        <w:rPr>
          <w:sz w:val="24"/>
          <w:szCs w:val="24"/>
          <w:highlight w:val="white"/>
        </w:rPr>
        <w:t xml:space="preserve">рублей 00 копеек;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Срок действия аккредитива – 180 (Сто восемьдесят) календарных дней с даты открытия в Исполняющем Банке с возможностью пролонгации срока действия;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Денежные средства зачисляются УЧАСТНИКОМ </w:t>
      </w:r>
      <w:r>
        <w:rPr>
          <w:sz w:val="24"/>
          <w:szCs w:val="24"/>
        </w:rPr>
        <w:t xml:space="preserve">ДОЛЕВОГО СТРОИТЕЛЬСТВА</w:t>
      </w:r>
      <w:r>
        <w:rPr>
          <w:sz w:val="24"/>
          <w:szCs w:val="24"/>
          <w:highlight w:val="white"/>
        </w:rPr>
        <w:t xml:space="preserve"> на открытый в Исполняющем Банке аккредитив для дальнейшего перечисления средств на счет эскроу, открытый у Эскроу-агента на имя УЧАСТНИКА </w:t>
      </w:r>
      <w:r>
        <w:rPr>
          <w:sz w:val="24"/>
          <w:szCs w:val="24"/>
        </w:rPr>
        <w:t xml:space="preserve">ДОЛЕВОГО СТРОИТЕЛЬСТВА</w:t>
      </w:r>
      <w:r>
        <w:rPr>
          <w:sz w:val="24"/>
          <w:szCs w:val="24"/>
          <w:highlight w:val="white"/>
        </w:rPr>
        <w:t xml:space="preserve">;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Условием оплаты аккредитива является предъявление Застройщиком по поручению УЧАСТНИКА </w:t>
      </w:r>
      <w:r>
        <w:rPr>
          <w:sz w:val="24"/>
          <w:szCs w:val="24"/>
        </w:rPr>
        <w:t xml:space="preserve">ДОЛЕВОГО СТРОИТЕЛЬСТВА </w:t>
      </w:r>
      <w:r>
        <w:rPr>
          <w:sz w:val="24"/>
          <w:szCs w:val="24"/>
          <w:highlight w:val="white"/>
        </w:rPr>
        <w:t xml:space="preserve">в Исполняющий Банк следующих документов: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</w:rPr>
        <w:t xml:space="preserve">о</w:t>
      </w:r>
      <w:r>
        <w:rPr>
          <w:sz w:val="24"/>
          <w:szCs w:val="24"/>
          <w:highlight w:val="white"/>
        </w:rPr>
        <w:t xml:space="preserve">ригинал настоящего Договора на бумажном носителе, подписанный сторонами и прошедший</w:t>
      </w:r>
      <w:r>
        <w:rPr>
          <w:sz w:val="24"/>
          <w:szCs w:val="24"/>
          <w:highlight w:val="white"/>
        </w:rPr>
        <w:t xml:space="preserve"> государственную регистрацию, и оригинал выписки из Единого государственного реестра недвижимости (далее - ЕГРН) на бумажном носителе, подтверждающей регистрацию настоящего Договора и залога прав УЧАСТНИКА ДОЛЕВОГО СТРОИТЕЛЬСТВА по Договору в пользу Банка;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left="72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либо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скан-копия в электронном виде с оригинала настоящего Договора, подписанного сторонами и прошедшего государственную регистрацию и скан-копия в э</w:t>
      </w:r>
      <w:r>
        <w:rPr>
          <w:sz w:val="24"/>
          <w:szCs w:val="24"/>
          <w:highlight w:val="white"/>
        </w:rPr>
        <w:t xml:space="preserve">лектронном виде с оригинала выписки ЕГРН, заверенной многофункциональным центром предоставления государственных и муниципальных услуг, подтверждающей регистрацию настоящего Договора и залога прав УЧАСТНИКА ДОЛЕВОГО СТРОИТЕЛЬСТВА по Договору в пользу Банка;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left="72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</w:rPr>
        <w:t xml:space="preserve">л</w:t>
      </w:r>
      <w:r>
        <w:rPr>
          <w:sz w:val="24"/>
          <w:szCs w:val="24"/>
          <w:highlight w:val="white"/>
        </w:rPr>
        <w:t xml:space="preserve">ибо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д</w:t>
      </w:r>
      <w:r>
        <w:rPr>
          <w:sz w:val="24"/>
          <w:szCs w:val="24"/>
          <w:highlight w:val="white"/>
        </w:rPr>
        <w:t xml:space="preserve">оговор в форме электронного документа, прошедшего г</w:t>
      </w:r>
      <w:r>
        <w:rPr>
          <w:sz w:val="24"/>
          <w:szCs w:val="24"/>
          <w:highlight w:val="white"/>
        </w:rPr>
        <w:t xml:space="preserve">осударственную регистрацию и подписанный электронной подписью, и выписка из ЕГРН, подтверждающая регистрацию настоящего Договора и залога прав УЧАСТНИКА ДОЛЕВОГО СТРОИТЕЛЬСТВА по Договору в пользу Банка, подписанные усиленной квалифицированной электронной </w:t>
      </w:r>
      <w:r>
        <w:rPr>
          <w:sz w:val="24"/>
          <w:szCs w:val="24"/>
          <w:highlight w:val="white"/>
        </w:rPr>
        <w:t xml:space="preserve">подписью государственного регистратора прав совместно с электронными документами, позволяющими проверить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документа.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72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После предоставления вышеуказанных документов Исполняющий банк перечисляет сумму аккредитива на счет эскроу не позднее 3 (Трех) календарных дней;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Затраты Исполняющего Банка, связанные с открытием и проведением расчетов по аккредитиву, относятся на счет УЧАСТНИКА </w:t>
      </w:r>
      <w:r>
        <w:rPr>
          <w:sz w:val="24"/>
          <w:szCs w:val="24"/>
        </w:rPr>
        <w:t xml:space="preserve">ДОЛЕВОГО СТРОИТЕЛЬСТВА </w:t>
      </w:r>
      <w:r>
        <w:rPr>
          <w:sz w:val="24"/>
          <w:szCs w:val="24"/>
        </w:rPr>
        <w:br/>
        <w:t xml:space="preserve">в соответствии </w:t>
      </w:r>
      <w:r>
        <w:rPr>
          <w:sz w:val="24"/>
          <w:szCs w:val="24"/>
          <w:highlight w:val="white"/>
        </w:rPr>
        <w:t xml:space="preserve">с тарифами Исполняющего Банка;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ind w:left="72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Закрытие аккредитива производится: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по истечении срока действия аккредитива (с учетом пролонгации (при наличии));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3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при отказе Получателя средств от использования аккредитива до истечения срока его действия.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1"/>
          <w:numId w:val="1"/>
        </w:numPr>
        <w:contextualSpacing w:val="0"/>
        <w:ind w:left="709" w:hanging="567"/>
        <w:jc w:val="both"/>
        <w:tabs>
          <w:tab w:val="left" w:pos="765" w:leader="none"/>
          <w:tab w:val="clear" w:pos="1093" w:leader="none"/>
          <w:tab w:val="right" w:pos="1006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none"/>
        </w:rPr>
        <w:t xml:space="preserve">На основании п. 1 ст. 77.</w:t>
      </w:r>
      <w:r>
        <w:rPr>
          <w:sz w:val="24"/>
          <w:szCs w:val="24"/>
          <w:highlight w:val="none"/>
        </w:rPr>
        <w:t xml:space="preserve">2</w:t>
      </w:r>
      <w:r>
        <w:rPr>
          <w:sz w:val="24"/>
          <w:szCs w:val="24"/>
          <w:highlight w:val="none"/>
        </w:rPr>
        <w:t xml:space="preserve"> Федерального закона от 16.07.1998 № 102-ФЗ «Об ипотеке (залоге недвижимости)» п</w:t>
      </w:r>
      <w:r>
        <w:rPr>
          <w:color w:val="auto"/>
          <w:sz w:val="24"/>
          <w:szCs w:val="24"/>
          <w:highlight w:val="none"/>
        </w:rPr>
        <w:t xml:space="preserve">рава требования УЧАСТНИКА ДОЛЕВОГО СТРОИТЕЛЬСТВА, приобретенные полностью или частично с использованием кредитных средств, находятся в</w:t>
      </w:r>
      <w:r>
        <w:rPr>
          <w:sz w:val="24"/>
          <w:szCs w:val="24"/>
          <w:highlight w:val="none"/>
        </w:rPr>
        <w:t xml:space="preserve"> </w:t>
      </w:r>
      <w:r>
        <w:rPr>
          <w:color w:val="auto"/>
          <w:sz w:val="24"/>
          <w:szCs w:val="24"/>
          <w:highlight w:val="none"/>
        </w:rPr>
        <w:t xml:space="preserve">залоге у Банка, с момента государственной регистрации залога прав требования участника долевого строительства в Едином государственном реестре недвижимости</w:t>
      </w:r>
      <w:r>
        <w:rPr>
          <w:sz w:val="24"/>
          <w:szCs w:val="24"/>
          <w:highlight w:val="none"/>
        </w:rPr>
        <w:t xml:space="preserve">.  Залогодержателем является Банк, а залогодателем – УЧАСТНИК ДОЛЕВОГО СТРОИТЕЛЬСТВА. 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709"/>
        <w:jc w:val="both"/>
        <w:tabs>
          <w:tab w:val="left" w:pos="765" w:leader="none"/>
          <w:tab w:val="left" w:pos="1245" w:leader="none"/>
          <w:tab w:val="right" w:pos="10065" w:leader="none"/>
        </w:tabs>
        <w:rPr>
          <w:sz w:val="24"/>
          <w:szCs w:val="24"/>
          <w:highlight w:val="none"/>
        </w:rPr>
      </w:pPr>
      <w:r>
        <w:rPr>
          <w:sz w:val="24"/>
          <w:highlight w:val="none"/>
        </w:rPr>
        <w:t xml:space="preserve">Права Банка как залогодержателя согласно ст. 13 Федерального закона №102-ФЗ от 16.07.1998 «Об ипотеке (залоге недвижимости)» удостоверяются закладной, </w:t>
      </w:r>
      <w:r>
        <w:rPr>
          <w:sz w:val="24"/>
          <w:highlight w:val="none"/>
        </w:rPr>
        <w:t xml:space="preserve">которую УЧАСТНИК</w:t>
      </w:r>
      <w:r>
        <w:rPr>
          <w:sz w:val="24"/>
          <w:highlight w:val="none"/>
        </w:rPr>
        <w:t xml:space="preserve"> ДОЛЕВОГО</w:t>
      </w:r>
      <w:r>
        <w:rPr>
          <w:sz w:val="24"/>
          <w:highlight w:val="none"/>
        </w:rPr>
        <w:t xml:space="preserve"> СТРОИТЕЛЬСТВА составляет одновременно с оформлением права собственности на Объект долевого строительства, по форме, определяемой Банком, и передает в орган, осуществляющий государственную регистрацию прав на недвижимое имущество и сделок с ним. Залогодерж</w:t>
      </w:r>
      <w:r>
        <w:rPr>
          <w:sz w:val="24"/>
          <w:highlight w:val="none"/>
        </w:rPr>
        <w:t xml:space="preserve">ателем данного залога является Банк, залогодателем – УЧАСТНИК ДОЛЕВОГО СТРОИТЕЛЬСТВА. Отчуждение и последующая ипотека Объекта долевого строительства допускаются только с предварительного письменного согласия Банка.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709" w:right="0" w:firstLine="0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highlight w:val="none"/>
        </w:rPr>
      </w:r>
      <w:r>
        <w:rPr>
          <w:color w:val="auto"/>
          <w:sz w:val="24"/>
          <w:szCs w:val="24"/>
          <w:highlight w:val="none"/>
        </w:rPr>
        <w:t xml:space="preserve">В соответствии с п. 5 ст. </w:t>
      </w:r>
      <w:r>
        <w:rPr>
          <w:color w:val="auto"/>
          <w:sz w:val="24"/>
          <w:szCs w:val="24"/>
          <w:highlight w:val="none"/>
        </w:rPr>
        <w:t xml:space="preserve">77.2 Федерального</w:t>
      </w:r>
      <w:r>
        <w:rPr>
          <w:color w:val="auto"/>
          <w:sz w:val="24"/>
          <w:szCs w:val="24"/>
          <w:highlight w:val="none"/>
        </w:rPr>
        <w:t xml:space="preserve"> закона от 16.07.1998 №102-ФЗ «Об ипотеке (залоге недвижимости)» п</w:t>
      </w:r>
      <w:r>
        <w:rPr>
          <w:sz w:val="24"/>
          <w:highlight w:val="none"/>
        </w:rPr>
        <w:t xml:space="preserve">ри государственной регистрации права собственности УЧАСТНИКА ДОЛЕВОГО СТРОИТЕЛЬСТВА на Объект долевого строительства происходит замена залога прав требования УЧАСТНИКА ДОЛЕВОГО СТРОИТЕЛЬСТВА на залог Объекта долевого строительства и такой объект поступает </w:t>
      </w:r>
      <w:r>
        <w:rPr>
          <w:sz w:val="24"/>
          <w:highlight w:val="none"/>
        </w:rPr>
        <w:t xml:space="preserve">в залог залогодержателю прав требования участника долевого строительства по договору участия в долевом строительстве. Государственная регистрация ипотеки в указанном случае осуществляется одновременно с государственной регистрацией права собственности учас</w:t>
      </w:r>
      <w:r>
        <w:rPr>
          <w:sz w:val="24"/>
          <w:highlight w:val="none"/>
        </w:rPr>
        <w:t xml:space="preserve">тника долевого строительства.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ab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УЧАСТНИК ДОЛЕВОГО СТРОИТЕЛЬСТВА обязуется внести денежные средства в счет уплаты цены настоящего Договора участия в долевом строительств</w:t>
      </w:r>
      <w:r>
        <w:rPr>
          <w:sz w:val="24"/>
          <w:szCs w:val="24"/>
          <w:highlight w:val="white"/>
        </w:rPr>
        <w:t xml:space="preserve">е на специальный счет эскроу, открываемый в ПАО «Банк ПСБ»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</w:t>
      </w:r>
      <w:r>
        <w:rPr>
          <w:sz w:val="24"/>
          <w:szCs w:val="24"/>
          <w:highlight w:val="white"/>
        </w:rPr>
        <w:br/>
        <w:t xml:space="preserve">в долевом строительстве, в целях их дальнейшего перечисления Застройщику (Бенефициару) при возникновении условий, предусмотренных Законом №214-ФЗ  и договором счета эскроу, заключенным между Бенефициаром, Депонентом и Эскроу-агентом, с учетом следующего: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78"/>
        <w:numPr>
          <w:ilvl w:val="0"/>
          <w:numId w:val="75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b/>
          <w:bCs/>
          <w:sz w:val="24"/>
          <w:szCs w:val="24"/>
          <w:highlight w:val="white"/>
        </w:rPr>
        <w:t xml:space="preserve">Эскроу-агент: </w:t>
      </w:r>
      <w:r>
        <w:rPr>
          <w:sz w:val="24"/>
          <w:szCs w:val="24"/>
          <w:highlight w:val="white"/>
        </w:rPr>
        <w:t xml:space="preserve">Публичное акционерное общество «Банк ПСБ</w:t>
      </w:r>
      <w:r>
        <w:rPr>
          <w:sz w:val="24"/>
          <w:szCs w:val="24"/>
          <w:highlight w:val="white"/>
        </w:rPr>
        <w:t xml:space="preserve">» (ПАО «Банк ПСБ»), ИНН 7744000912, БИК 044525555, корр. счет: 30101810400000000555; адрес места нахождения: 150003, Ярославская область, г. Ярославль, ул. Республиканская, д. 16, адрес электронной почты: escrow@psbank.ru., номер телефона 8(495) 787-33-33.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5"/>
        </w:numPr>
        <w:contextualSpacing w:val="0"/>
        <w:ind w:right="51"/>
        <w:jc w:val="both"/>
        <w:rPr>
          <w:sz w:val="22"/>
          <w:szCs w:val="22"/>
          <w:highlight w:val="white"/>
        </w:rPr>
      </w:pPr>
      <w:r>
        <w:rPr>
          <w:b/>
          <w:bCs/>
          <w:sz w:val="24"/>
          <w:szCs w:val="24"/>
          <w:highlight w:val="white"/>
        </w:rPr>
        <w:t xml:space="preserve">Депонент</w:t>
      </w:r>
      <w:r>
        <w:rPr>
          <w:sz w:val="24"/>
          <w:szCs w:val="24"/>
          <w:highlight w:val="white"/>
        </w:rPr>
        <w:t xml:space="preserve">: </w:t>
      </w:r>
      <w:r>
        <w:rPr>
          <w:b/>
          <w:sz w:val="24"/>
          <w:szCs w:val="24"/>
          <w:highlight w:val="yellow"/>
        </w:rPr>
        <w:t xml:space="preserve">____________________</w:t>
      </w:r>
      <w:r>
        <w:rPr>
          <w:sz w:val="24"/>
          <w:szCs w:val="24"/>
          <w:highlight w:val="yellow"/>
        </w:rPr>
        <w:t xml:space="preserve">, _________</w:t>
      </w:r>
      <w:r>
        <w:rPr>
          <w:sz w:val="24"/>
          <w:szCs w:val="24"/>
        </w:rPr>
        <w:t xml:space="preserve"> года рождения, ИНН </w:t>
      </w:r>
      <w:r>
        <w:rPr>
          <w:sz w:val="24"/>
          <w:szCs w:val="24"/>
          <w:highlight w:val="yellow"/>
        </w:rPr>
        <w:t xml:space="preserve">______</w:t>
      </w:r>
      <w:r>
        <w:rPr>
          <w:sz w:val="24"/>
          <w:szCs w:val="24"/>
        </w:rPr>
        <w:t xml:space="preserve">, СНИЛС </w:t>
      </w:r>
      <w:r>
        <w:rPr>
          <w:sz w:val="24"/>
          <w:szCs w:val="24"/>
          <w:highlight w:val="yellow"/>
        </w:rPr>
        <w:t xml:space="preserve">______________</w:t>
      </w:r>
      <w:r>
        <w:rPr>
          <w:sz w:val="24"/>
          <w:szCs w:val="24"/>
        </w:rPr>
        <w:t xml:space="preserve">, паспорт РФ: серия _____ номер </w:t>
      </w:r>
      <w:r>
        <w:rPr>
          <w:sz w:val="24"/>
          <w:szCs w:val="24"/>
          <w:highlight w:val="yellow"/>
        </w:rPr>
        <w:t xml:space="preserve">_________</w:t>
      </w:r>
      <w:r>
        <w:rPr>
          <w:sz w:val="24"/>
          <w:szCs w:val="24"/>
        </w:rPr>
        <w:t xml:space="preserve">, выдан </w:t>
      </w:r>
      <w:r>
        <w:rPr>
          <w:sz w:val="24"/>
          <w:szCs w:val="24"/>
          <w:highlight w:val="yellow"/>
        </w:rPr>
        <w:t xml:space="preserve">_______ ___.___.20___г</w:t>
      </w:r>
      <w:r>
        <w:rPr>
          <w:sz w:val="24"/>
          <w:szCs w:val="24"/>
        </w:rPr>
        <w:t xml:space="preserve">., код подразделения </w:t>
      </w:r>
      <w:r>
        <w:rPr>
          <w:sz w:val="24"/>
          <w:szCs w:val="24"/>
          <w:highlight w:val="yellow"/>
        </w:rPr>
        <w:t xml:space="preserve">_____</w:t>
      </w:r>
      <w:r>
        <w:rPr>
          <w:sz w:val="24"/>
          <w:szCs w:val="24"/>
        </w:rPr>
        <w:t xml:space="preserve">, зарегистрированный по адресу: </w:t>
      </w:r>
      <w:r>
        <w:rPr>
          <w:sz w:val="24"/>
          <w:szCs w:val="24"/>
          <w:highlight w:val="yellow"/>
        </w:rPr>
        <w:t xml:space="preserve">__________________.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5"/>
        </w:numPr>
        <w:contextualSpacing w:val="0"/>
        <w:ind w:right="51"/>
        <w:jc w:val="both"/>
        <w:rPr>
          <w:sz w:val="24"/>
          <w:szCs w:val="24"/>
        </w:rPr>
      </w:pPr>
      <w:r>
        <w:rPr>
          <w:b/>
          <w:bCs/>
          <w:sz w:val="24"/>
          <w:szCs w:val="24"/>
          <w:highlight w:val="white"/>
        </w:rPr>
        <w:t xml:space="preserve">Бенефициар: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Общество с ограниченной ответственностью «Специализированный застройщик «</w:t>
      </w:r>
      <w:r>
        <w:rPr>
          <w:sz w:val="24"/>
          <w:szCs w:val="24"/>
        </w:rPr>
        <w:t xml:space="preserve">Новый Звездный</w:t>
      </w:r>
      <w:r>
        <w:rPr>
          <w:sz w:val="24"/>
          <w:szCs w:val="24"/>
        </w:rPr>
        <w:t xml:space="preserve">», ОГРН:</w:t>
      </w:r>
      <w:r>
        <w:t xml:space="preserve"> </w:t>
      </w:r>
      <w:r>
        <w:rPr>
          <w:sz w:val="24"/>
          <w:szCs w:val="24"/>
        </w:rPr>
        <w:t xml:space="preserve">1215900015968</w:t>
      </w:r>
      <w:r>
        <w:rPr>
          <w:sz w:val="24"/>
          <w:szCs w:val="24"/>
        </w:rPr>
        <w:t xml:space="preserve">, ИНН/КПП: </w:t>
      </w:r>
      <w:r>
        <w:rPr>
          <w:sz w:val="24"/>
          <w:szCs w:val="24"/>
        </w:rPr>
        <w:t xml:space="preserve">5902061480</w:t>
      </w:r>
      <w:r>
        <w:rPr>
          <w:sz w:val="24"/>
          <w:szCs w:val="24"/>
        </w:rPr>
        <w:t xml:space="preserve">/</w:t>
      </w:r>
      <w:r>
        <w:rPr>
          <w:sz w:val="24"/>
          <w:szCs w:val="24"/>
        </w:rPr>
        <w:t xml:space="preserve">590401001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0"/>
          <w:numId w:val="75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sz w:val="22"/>
          <w:szCs w:val="22"/>
          <w:highlight w:val="white"/>
        </w:rPr>
      </w:pPr>
      <w:r>
        <w:rPr>
          <w:b/>
          <w:bCs/>
          <w:sz w:val="24"/>
          <w:szCs w:val="24"/>
          <w:highlight w:val="white"/>
        </w:rPr>
        <w:t xml:space="preserve">Депонируемая </w:t>
      </w:r>
      <w:r>
        <w:rPr>
          <w:b/>
          <w:bCs/>
          <w:sz w:val="24"/>
          <w:szCs w:val="24"/>
          <w:highlight w:val="white"/>
        </w:rPr>
        <w:t xml:space="preserve">сумма:</w:t>
      </w:r>
      <w:r>
        <w:rPr>
          <w:sz w:val="24"/>
          <w:szCs w:val="24"/>
          <w:highlight w:val="white"/>
        </w:rPr>
        <w:t xml:space="preserve">_</w:t>
      </w:r>
      <w:r>
        <w:rPr>
          <w:sz w:val="24"/>
          <w:szCs w:val="24"/>
          <w:highlight w:val="yellow"/>
        </w:rPr>
        <w:t xml:space="preserve">____________ (_______________) </w:t>
      </w:r>
      <w:r>
        <w:rPr>
          <w:sz w:val="24"/>
          <w:szCs w:val="24"/>
          <w:highlight w:val="white"/>
        </w:rPr>
        <w:t xml:space="preserve">рублей 00 копеек;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78"/>
        <w:numPr>
          <w:ilvl w:val="0"/>
          <w:numId w:val="75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color w:val="000000" w:themeColor="text1"/>
          <w:sz w:val="22"/>
          <w:szCs w:val="22"/>
          <w:highlight w:val="white"/>
        </w:rPr>
      </w:pPr>
      <w:r>
        <w:rPr>
          <w:b/>
          <w:bCs/>
          <w:sz w:val="24"/>
          <w:szCs w:val="24"/>
          <w:highlight w:val="white"/>
        </w:rPr>
        <w:t xml:space="preserve">Основания перечисления Застройщику (Бенефициару) депонированной суммы:</w:t>
      </w:r>
      <w:r>
        <w:rPr>
          <w:sz w:val="24"/>
          <w:szCs w:val="24"/>
          <w:highlight w:val="white"/>
        </w:rPr>
        <w:t xml:space="preserve"> разрешение на ввод в эксплуатацию Объекта недвижимости или сведения о размещении в единой информационной системе жилищного строительства вышеуказанной информации. </w:t>
      </w:r>
      <w:r>
        <w:rPr>
          <w:color w:val="000000" w:themeColor="text1"/>
          <w:sz w:val="22"/>
          <w:szCs w:val="22"/>
          <w:highlight w:val="white"/>
        </w:rPr>
      </w:r>
      <w:r>
        <w:rPr>
          <w:color w:val="000000" w:themeColor="text1"/>
          <w:sz w:val="22"/>
          <w:szCs w:val="22"/>
          <w:highlight w:val="white"/>
        </w:rPr>
      </w:r>
    </w:p>
    <w:p>
      <w:pPr>
        <w:pStyle w:val="1278"/>
        <w:numPr>
          <w:ilvl w:val="0"/>
          <w:numId w:val="75"/>
        </w:numPr>
        <w:contextualSpacing w:val="0"/>
        <w:jc w:val="both"/>
        <w:shd w:val="clear" w:color="auto" w:fill="ffffff"/>
        <w:tabs>
          <w:tab w:val="left" w:pos="284" w:leader="none"/>
          <w:tab w:val="left" w:pos="993" w:leader="none"/>
        </w:tabs>
        <w:rPr>
          <w:color w:val="000000" w:themeColor="text1"/>
          <w:sz w:val="22"/>
          <w:szCs w:val="22"/>
        </w:rPr>
      </w:pPr>
      <w:r>
        <w:rPr>
          <w:sz w:val="24"/>
          <w:szCs w:val="24"/>
          <w:highlight w:val="white"/>
        </w:rPr>
        <w:t xml:space="preserve">Депонирован</w:t>
      </w:r>
      <w:r>
        <w:rPr>
          <w:sz w:val="24"/>
          <w:szCs w:val="24"/>
          <w:highlight w:val="white"/>
        </w:rPr>
        <w:t xml:space="preserve">ная сумма перечисляется не позднее 10 (Десяти) рабочих дней после представления Застройщиком документов, либо информации, предусмотренных в настоящем пункте, на счет Застройщика (Бенефициара), указанный в настоящем договоре. Срок условного депонирования - </w:t>
      </w:r>
      <w:r>
        <w:rPr>
          <w:b/>
          <w:bCs/>
          <w:sz w:val="24"/>
          <w:szCs w:val="24"/>
          <w:highlight w:val="white"/>
        </w:rPr>
        <w:t xml:space="preserve">до</w:t>
      </w:r>
      <w:r>
        <w:rPr>
          <w:b/>
          <w:bCs/>
          <w:iCs/>
          <w:sz w:val="24"/>
          <w:szCs w:val="24"/>
        </w:rPr>
        <w:t xml:space="preserve"> __________.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numPr>
          <w:ilvl w:val="1"/>
          <w:numId w:val="1"/>
        </w:numPr>
        <w:ind w:left="709" w:hanging="709"/>
        <w:jc w:val="both"/>
        <w:tabs>
          <w:tab w:val="num" w:pos="765" w:leader="none"/>
          <w:tab w:val="num" w:pos="1245" w:leader="none"/>
          <w:tab w:val="right" w:pos="10065" w:leader="none"/>
        </w:tabs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 xml:space="preserve">Стороны пришли к соглашению о том, что Цена Договора подлежит изменению в случае изменения Общей приведенной площади Объекта долевого строительства по отношению к Проектной общей приведенной площади Объе</w:t>
      </w:r>
      <w:r>
        <w:rPr>
          <w:sz w:val="24"/>
          <w:szCs w:val="24"/>
        </w:rPr>
        <w:t xml:space="preserve">кта долевого строительства более чем на 0,5 (Ноль целых пять десятых) кв.м.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0,5 (Ноль целых пять десятых) </w:t>
      </w:r>
      <w:r>
        <w:rPr>
          <w:sz w:val="24"/>
          <w:szCs w:val="24"/>
        </w:rPr>
        <w:t xml:space="preserve">кв.м</w:t>
      </w:r>
      <w:r>
        <w:rPr>
          <w:sz w:val="24"/>
          <w:szCs w:val="24"/>
        </w:rPr>
        <w:t xml:space="preserve"> включительно, в сторону увеличения либо в сторону уменьшения, Цена Договора изменению не подлежит.</w:t>
      </w:r>
      <w:r>
        <w:rPr>
          <w:bCs/>
          <w:spacing w:val="-1"/>
          <w:sz w:val="24"/>
          <w:szCs w:val="24"/>
        </w:rPr>
      </w:r>
      <w:r>
        <w:rPr>
          <w:bCs/>
          <w:spacing w:val="-1"/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В случае изменения Общей приведенной площади Объекта долевого строительства по отношению к Проектной общей приведенной площади более чем на 0,5 (Ноль целых пять десятых) </w:t>
      </w:r>
      <w:r>
        <w:rPr>
          <w:sz w:val="24"/>
          <w:szCs w:val="24"/>
        </w:rPr>
        <w:t xml:space="preserve">кв.м</w:t>
      </w:r>
      <w:r>
        <w:rPr>
          <w:sz w:val="24"/>
          <w:szCs w:val="24"/>
        </w:rPr>
        <w:t xml:space="preserve"> Стороны производят расчет стоимости разницы площадей. Расчет осуществляется по цене за один квадратный метр, установленной в п. 4.1 настоящего Договора. Общая прив</w:t>
      </w:r>
      <w:r>
        <w:rPr>
          <w:sz w:val="24"/>
          <w:szCs w:val="24"/>
        </w:rPr>
        <w:t xml:space="preserve">еденная площадь Объекта долевого строительства устанавливается в соответствии с данными экспликации технического плана здания (Объекта недвижимости), изготовленного кадастровым инженером, имеющим действующий квалификационный аттестат кадастрового инженера.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Если Общая приведенная площадь Объекта долевого строительства в соответствии с обмерами кадастрового инженера будет больше Проектной общей приведенной площади более чем на 0,5 (Ноль целых пять десятых) </w:t>
      </w:r>
      <w:r>
        <w:rPr>
          <w:sz w:val="24"/>
          <w:szCs w:val="24"/>
        </w:rPr>
        <w:t xml:space="preserve">кв.м</w:t>
      </w:r>
      <w:r>
        <w:rPr>
          <w:sz w:val="24"/>
          <w:szCs w:val="24"/>
        </w:rPr>
        <w:t xml:space="preserve">, то УЧАСТНИК ДОЛЕВОГО СТРОИТЕЛЬСТВА доплачивает возникшую разницу в течение 10 (Десяти) рабочих дней с даты надлежащего уведомления его ЗАСТРОЙЩИКОМ по банковским реквизитам, указанным в разделе 15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Если Общая приведенная площадь Объекта долевого строительства в соответствии с обмерами кадастрового инженера будет меньше Проектной общей приведенной площади более чем на 0,5 (Ноль целых пять десятых) </w:t>
      </w:r>
      <w:r>
        <w:rPr>
          <w:sz w:val="24"/>
          <w:szCs w:val="24"/>
        </w:rPr>
        <w:t xml:space="preserve">кв.м</w:t>
      </w:r>
      <w:r>
        <w:rPr>
          <w:sz w:val="24"/>
          <w:szCs w:val="24"/>
        </w:rPr>
        <w:t xml:space="preserve">, то УЧАСТНИКУ ДОЛЕВОГО СТРОИТЕЛЬСТВА, после подписан</w:t>
      </w:r>
      <w:r>
        <w:rPr>
          <w:sz w:val="24"/>
          <w:szCs w:val="24"/>
        </w:rPr>
        <w:t xml:space="preserve">ия Сторонами Передаточного акта, возвращается разница в течение 10 (Десяти) рабочих дней с даты получения Застройщиком заявления от УЧАСТНИКА ДОЛЕВОГО СТРОИТЕЛЬСТВА на возврат и реквизитов счета в банке, на который должны быть возвращены денежные средства.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эскроу, открытый в соответствии с Договором.</w:t>
      </w:r>
      <w:r>
        <w:rPr>
          <w:sz w:val="24"/>
          <w:szCs w:val="24"/>
          <w:highlight w:val="white"/>
          <w:lang w:eastAsia="en-US"/>
        </w:rPr>
        <w:t xml:space="preserve"> </w:t>
      </w:r>
      <w:r>
        <w:rPr>
          <w:sz w:val="24"/>
          <w:szCs w:val="24"/>
        </w:rPr>
        <w:t xml:space="preserve">УЧАСТНИК ДОЛЕВОГО СТРОИТЕЛЬСТВА должен выполнить обязательство по оплате Цены Договора до ввода в эксплуатацию Объекта недвижимости.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Цену Договора не включены расходы, связанные с регистрацией настоящего Договора</w:t>
      </w:r>
      <w:r>
        <w:rPr>
          <w:sz w:val="24"/>
          <w:szCs w:val="24"/>
        </w:rPr>
        <w:t xml:space="preserve">, дополнительных соглашений к настоящему Договору, услуги по подготовке и передаче на государственную регистрацию документов, необходимых для государственной регистрации права собственности УЧАСТНИКА ДОЛЕВОГО СТРОИТЕЛЬСТВА на Объект долевого строительства.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Услуги по подготовке и передаче на государственную регистрацию документо</w:t>
      </w:r>
      <w:r>
        <w:rPr>
          <w:sz w:val="24"/>
          <w:szCs w:val="24"/>
        </w:rPr>
        <w:t xml:space="preserve">в, необходимых для государственной регистрации настоящего Договора, дополнительных соглашений к настоящему Договору и права собственности УЧАСТНИКА ДОЛЕВОГО СТРОИТЕЛЬСТВА на Объект долевого строительства могут быть оказаны на основании отдельного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 нас</w:t>
      </w:r>
      <w:r>
        <w:rPr>
          <w:sz w:val="24"/>
          <w:szCs w:val="24"/>
        </w:rPr>
        <w:t xml:space="preserve">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на счет УЧАСТНИКА </w:t>
      </w:r>
      <w:r>
        <w:rPr>
          <w:sz w:val="24"/>
          <w:szCs w:val="24"/>
        </w:rPr>
        <w:t xml:space="preserve">ДОЛЕВОГО СТРОИТЕЛЬСТВА</w:t>
      </w:r>
      <w:r>
        <w:rPr>
          <w:sz w:val="24"/>
          <w:szCs w:val="24"/>
        </w:rPr>
        <w:t xml:space="preserve"> указанный в соответствующем заявлении Эскроу-агенту в соответствии с условиями договора счета эскроу.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Условие о механизме возврата денежных средств, предусмотренное настоящим пунктом Договора, является самостоятельным соглашением Сторон, недействительность настоящего Договора не влияет на действительность указанного соглашения.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  <w:highlight w:val="none"/>
        </w:rPr>
        <w:t xml:space="preserve">В случае отказа Эскроу-агента от заключения договора счета эскроу с УЧАСТНИКОМ ДОЛЕВОГО СТРОИТЕЛЬСТВА, расторжения Эскроу-агентом договора счета эскроу с УЧАСТНИКОМ ДОЛЕВОГО СТРОИТЕЛЬСТВА, по основаниям, указанным в п. 5.2 ст. 7 Федерального закона от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7 августа 2001 года №115-ФЗ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зако</w:t>
      </w:r>
      <w:r>
        <w:rPr>
          <w:sz w:val="24"/>
          <w:szCs w:val="24"/>
          <w:highlight w:val="none"/>
        </w:rPr>
        <w:t xml:space="preserve">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20" w:firstLine="0"/>
        <w:jc w:val="both"/>
        <w:spacing w:line="240" w:lineRule="auto"/>
        <w:widowControl/>
        <w:tabs>
          <w:tab w:val="num" w:pos="109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СРОК И ПОРЯДОК ПЕРЕДАЧИ ОБЪЕКТА ДОЛЕВОГО СТРОИТЕЛЬСТВА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2"/>
          <w:szCs w:val="22"/>
          <w:highlight w:val="white"/>
        </w:rPr>
      </w:pPr>
      <w:r/>
      <w:bookmarkStart w:id="1" w:name="_Hlk124841242"/>
      <w:r>
        <w:rPr>
          <w:sz w:val="24"/>
          <w:szCs w:val="24"/>
          <w:highlight w:val="white"/>
        </w:rPr>
        <w:t xml:space="preserve">Передача Объекта долевого строительства осуществляется не ранее чем после получения в установленном порядке разрешения на ввод в эксплуатацию Объекта недви</w:t>
      </w:r>
      <w:r>
        <w:rPr>
          <w:sz w:val="24"/>
          <w:szCs w:val="24"/>
          <w:highlight w:val="white"/>
        </w:rPr>
        <w:t xml:space="preserve">жимости. Срок окончания строительства (строительно-монтажных работ) Объекта согласно проектной документации и ориентировочный срок получения Разрешения на ввод в эксплуатацию Объекта указаны в Проектной декларации, размещенной в сети «Интернет» по адресу: </w:t>
      </w:r>
      <w:hyperlink r:id="rId21" w:tooltip="https://наш.дом.рф" w:history="1">
        <w:r>
          <w:rPr>
            <w:sz w:val="24"/>
            <w:szCs w:val="24"/>
            <w:highlight w:val="white"/>
          </w:rPr>
          <w:t xml:space="preserve">https://наш.дом.рф</w:t>
        </w:r>
      </w:hyperlink>
      <w:r>
        <w:rPr>
          <w:sz w:val="24"/>
          <w:szCs w:val="24"/>
          <w:highlight w:val="white"/>
        </w:rPr>
        <w:t xml:space="preserve">.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Передача УЧАСТНИКУ ДОЛЕВОГО СТРОИТЕЛЬСТВА Объекта долевого строительства и принятие его УЧАСТНИКОМ ДОЛЕВОГО СТРОИТЕЛЬСТВА осуществляется по подписываемому сторонами Передаточному акту по окончании строительства Объекта недвижимости </w:t>
      </w:r>
      <w:r>
        <w:rPr>
          <w:b/>
          <w:bCs/>
          <w:iCs/>
          <w:sz w:val="24"/>
          <w:szCs w:val="24"/>
        </w:rPr>
        <w:t xml:space="preserve">в срок не позднее </w:t>
      </w:r>
      <w:r>
        <w:rPr>
          <w:b/>
          <w:bCs/>
          <w:iCs/>
          <w:sz w:val="24"/>
          <w:szCs w:val="24"/>
          <w:highlight w:val="yellow"/>
        </w:rPr>
        <w:t xml:space="preserve">31.12.2027</w:t>
      </w:r>
      <w:r>
        <w:rPr>
          <w:b/>
          <w:bCs/>
          <w:sz w:val="24"/>
          <w:szCs w:val="24"/>
          <w:highlight w:val="yellow"/>
        </w:rPr>
        <w:t xml:space="preserve">.</w:t>
      </w:r>
      <w:bookmarkEnd w:id="1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ЗАСТРОЙЩИК имеет право досрочно передать Объект долевого строительства после надлежащего уведомления УЧАСТНИКА ДОЛЕВОГО СТРОИТЕЛЬСТВА в порядке, установленном Договором.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Договора, установленных разделом 4 настоящего Договора.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срок не позднее 10 (Десяти) рабочих дней с момента получен</w:t>
      </w:r>
      <w:r>
        <w:rPr>
          <w:iCs/>
          <w:sz w:val="24"/>
          <w:szCs w:val="24"/>
        </w:rPr>
        <w:t xml:space="preserve">ия УЧАСТНИКОМ ДОЛЕВОГО СТРОИТЕЛЬСТВА уведомления о завершении строительства Объекта недвижимости УЧАСТНИК ДОЛЕВОГО СТРОИТЕЛЬСТВА обязан выполнить все свои обязательства, установленные разделом 4 настоящего Договора, и принять Объект долевого строительства.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УЧАСТНИК ДОЛЕВОГО СТРОИТЕЛЬСТВА вправе отказаться от принятия Объекта долевого строительства и подписания Пере</w:t>
      </w:r>
      <w:r>
        <w:rPr>
          <w:iCs/>
          <w:sz w:val="24"/>
          <w:szCs w:val="24"/>
        </w:rPr>
        <w:t xml:space="preserve">даточного акта только в случае, если у него имеются обоснованные претензии к передаваемому Объекту долевого строительства, связанные с существенными недостатками, которые делают Объект долевого строительства непригодным для предусмотренного настоящим Догов</w:t>
      </w:r>
      <w:r>
        <w:rPr>
          <w:iCs/>
          <w:sz w:val="24"/>
          <w:szCs w:val="24"/>
        </w:rPr>
        <w:t xml:space="preserve">ором использования по назначению. Под существенными недостатками Стороны понимают отступления от условий Договора, от обязательных требований технических регламентов, проектной документации и градостроительных регламентов, от иных обязательных требований.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ind w:left="709" w:right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 этом, Сто</w:t>
      </w:r>
      <w:r>
        <w:rPr>
          <w:iCs/>
          <w:sz w:val="24"/>
          <w:szCs w:val="24"/>
        </w:rPr>
        <w:t xml:space="preserve">роны учитывают тот факт, что получение ЗАСТРОЙЩИКОМ Разрешения на ввод Объекта недвижимости в эксплуатацию подтверждает завершение строительства в полном объеме как Объекта недвижимости, так и Объекта долевого строительства и их соответствие условиям насто</w:t>
      </w:r>
      <w:r>
        <w:rPr>
          <w:iCs/>
          <w:sz w:val="24"/>
          <w:szCs w:val="24"/>
        </w:rPr>
        <w:t xml:space="preserve">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каких-либо существенных недостатков при создании Объекта долевого строительства. 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случае, если выявленные УЧАСТНИКОМ ДОЛЕВОГО СТРОИТЕЛЬСТВА несоответствия Объекта долевого строительства не относятся к существенным недостатка</w:t>
      </w:r>
      <w:r>
        <w:rPr>
          <w:iCs/>
          <w:sz w:val="24"/>
          <w:szCs w:val="24"/>
        </w:rPr>
        <w:t xml:space="preserve">м (п. 5.6. Договора), они рассматриваются Сторонами как несущественные недостатки, которые не могут являться препятствием для принятия УЧАСТНИКОМ ДОЛЕВОГО СТРОИТЕЛЬСТВА Объекта долевого строительства и подписания Передаточного акта в соответствии с условия</w:t>
      </w:r>
      <w:r>
        <w:rPr>
          <w:iCs/>
          <w:sz w:val="24"/>
          <w:szCs w:val="24"/>
        </w:rPr>
        <w:t xml:space="preserve">ми настоящего Договора, и подлежат устранению ЗАСТРОЙЩИКОМ в рамках гарантийного срока указанного в п. 6.2. настоящего Договора, после передачи Объекта долевого строительства УЧАСТНИКУ ДОЛЕВОГО СТРОИТЕЛЬСТВА в соответствии с условиями настоящего Договора.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ind w:left="709" w:right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Отказ УЧАСТНИКА ДОЛЕВОГО СТРОИТЕЛЬСТВА от принятия Объекта долевого строительства и подписания Передаточного акта в соответстви</w:t>
      </w:r>
      <w:r>
        <w:rPr>
          <w:iCs/>
          <w:sz w:val="24"/>
          <w:szCs w:val="24"/>
        </w:rPr>
        <w:t xml:space="preserve">и с условиями настоящего Договора в связи с выявленными УЧАСТНИКОМ ДОЛЕВОГО СТРОИТЕЛЬСТВА несущественными недостатками, при условии наличия у ЗАСТРОЙЩИКА Разрешения на ввод Объекта недвижимости в эксплуатацию и получения УЧАСТНИКОМ ДОЛЕВОГО СТРОИТЕЛЬСТВА у</w:t>
      </w:r>
      <w:r>
        <w:rPr>
          <w:iCs/>
          <w:sz w:val="24"/>
          <w:szCs w:val="24"/>
        </w:rPr>
        <w:t xml:space="preserve">ведомления от ЗАСТРОЙЩИКА о завершении строительства Объекта недвижимости согласно п. 5.5. настоящего Договора, признается Сторонами как уклонение УЧАСТНИКА ДОЛЕВОГО СТРОИТЕЛЬСТВА от принятия Объекта долевого строительства и подписания Передаточного акта.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 уклонении УЧАСТНИКА ДОЛЕВОГО СТРОИТЕЛЬСТВА от подписания Передаточного акта или при отказе УЧАСТНИКА ДОЛЕВОГО СТРОИТЕЛЬСТВА</w:t>
      </w:r>
      <w:r>
        <w:rPr>
          <w:iCs/>
          <w:sz w:val="24"/>
          <w:szCs w:val="24"/>
        </w:rPr>
        <w:t xml:space="preserve"> от его подписания (за исключением случая, указанного в п. 5.6. настоящего Договора) при условии полного и надлежащего исполнения ЗАСТРОЙЩИКОМ своих обязательств, ЗАСТРОЙЩИК в порядке и в сроки, установленные законом, вправе составить односторонний акт о п</w:t>
      </w:r>
      <w:r>
        <w:rPr>
          <w:iCs/>
          <w:sz w:val="24"/>
          <w:szCs w:val="24"/>
        </w:rPr>
        <w:t xml:space="preserve">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строительства. 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ind w:left="709" w:right="0"/>
        <w:rPr>
          <w:sz w:val="24"/>
          <w:szCs w:val="24"/>
        </w:rPr>
      </w:pPr>
      <w:r>
        <w:rPr>
          <w:iCs/>
          <w:sz w:val="24"/>
          <w:szCs w:val="24"/>
        </w:rPr>
        <w:t xml:space="preserve">В течение 10 (десяти) рабочих </w:t>
      </w:r>
      <w:r>
        <w:rPr>
          <w:iCs/>
          <w:sz w:val="24"/>
          <w:szCs w:val="24"/>
        </w:rPr>
        <w:t xml:space="preserve">дней с даты оформления Застройщиком Передаточного акта в одностороннем порядке, Застройщик направляет один экземпляр указанного акта УЧАСТНИКУ ДОЛЕВОГО СТРОИТЕЛЬСТВА по адресу, указанному в разделе 15 настоящего Договора. Стороны специально оговорили, что </w:t>
      </w:r>
      <w:r>
        <w:rPr>
          <w:iCs/>
          <w:sz w:val="24"/>
          <w:szCs w:val="24"/>
        </w:rPr>
        <w:t xml:space="preserve">Передаточный акт</w:t>
      </w:r>
      <w:r>
        <w:rPr>
          <w:iCs/>
          <w:sz w:val="24"/>
          <w:szCs w:val="24"/>
        </w:rPr>
        <w:t xml:space="preserve"> подписанный Застройщиком в одностороннем порядке согл</w:t>
      </w:r>
      <w:r>
        <w:rPr>
          <w:iCs/>
          <w:sz w:val="24"/>
          <w:szCs w:val="24"/>
        </w:rPr>
        <w:t xml:space="preserve">асно настоящему пункту Договора, считается оформленным в надлежащей форме и имеет юридическую силу с даты его подписания Застройщиком и направления одного экземпляра УЧАСТНИКУ ДОЛЕВОГО СТРОИТЕЛЬСТВА по адресу, указанному в разделе 15 настоящего Договора.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sz w:val="24"/>
          <w:szCs w:val="24"/>
        </w:rPr>
        <w:t xml:space="preserve">В случае немотивированного уклонения УЧАСТНИКА ДОЛЕВОГО СТРОИТЕЛЬСТВА от принятия Объекта долевого стро</w:t>
      </w:r>
      <w:r>
        <w:rPr>
          <w:sz w:val="24"/>
          <w:szCs w:val="24"/>
        </w:rPr>
        <w:t xml:space="preserve">ительства ЗАСТРОЙЩИК вправе потребовать от УЧАСТНИКА ДОЛЕВОГО СТРОИТЕЛЬСТВА уплаты неустойки (пени) в размере одной трехсотой ставки рефинансирования Центрального банка Российской Федерации, действующей на день исполнения обязательства, от Цены Договора, з</w:t>
      </w:r>
      <w:r>
        <w:rPr>
          <w:sz w:val="24"/>
          <w:szCs w:val="24"/>
        </w:rPr>
        <w:t xml:space="preserve">а каждый день уклонения от принятия Объекта долевого строительства. В целях настоящего пункта УЧАСТНИК ДОЛЕВОГО СТРОИТЕЛЬСТВА считается уклонившимся от принятия Объекта долевого строительства по истечении срока, установленного п. 5.5. настоящего Договора. 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случае выявления недостатков Объекта долевого строительства Стороны составляют Акт и указывают в нем срок устранения выявленных недостатков</w:t>
      </w:r>
      <w:r>
        <w:rPr>
          <w:iCs/>
          <w:sz w:val="24"/>
          <w:szCs w:val="24"/>
        </w:rPr>
        <w:t xml:space="preserve">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Подписание Передаточного акта не может быть поставлено в зависимость от уплаты Сторонами неустойки, предусмотренной настоящим Договором.</w:t>
      </w:r>
      <w:r>
        <w:rPr>
          <w:iCs/>
          <w:sz w:val="24"/>
          <w:szCs w:val="24"/>
        </w:rPr>
      </w:r>
      <w:r>
        <w:rPr>
          <w:iCs/>
          <w:sz w:val="24"/>
          <w:szCs w:val="24"/>
        </w:rPr>
      </w:r>
    </w:p>
    <w:p>
      <w:pPr>
        <w:pStyle w:val="1241"/>
        <w:numPr>
          <w:ilvl w:val="1"/>
          <w:numId w:val="1"/>
        </w:numPr>
        <w:ind w:left="709" w:right="0" w:hanging="709"/>
        <w:tabs>
          <w:tab w:val="clear" w:pos="1093" w:leader="none"/>
        </w:tabs>
        <w:rPr>
          <w:sz w:val="24"/>
          <w:szCs w:val="24"/>
        </w:rPr>
      </w:pPr>
      <w:r>
        <w:rPr>
          <w:iCs/>
          <w:sz w:val="24"/>
          <w:szCs w:val="24"/>
          <w:highlight w:val="none"/>
        </w:rPr>
      </w:r>
      <w:r>
        <w:rPr>
          <w:iCs/>
          <w:sz w:val="24"/>
          <w:szCs w:val="24"/>
          <w:highlight w:val="none"/>
        </w:rPr>
        <w:t xml:space="preserve">В случае если строительство (создание) Объекта долевого строительства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ДОЛЕВОГО СТРОИТЕЛЬСТВА соо</w:t>
      </w:r>
      <w:r>
        <w:rPr>
          <w:iCs/>
          <w:sz w:val="24"/>
          <w:szCs w:val="24"/>
          <w:highlight w:val="none"/>
        </w:rPr>
        <w:t xml:space="preserve">т</w:t>
      </w:r>
      <w:r>
        <w:rPr>
          <w:iCs/>
          <w:sz w:val="24"/>
          <w:szCs w:val="24"/>
          <w:highlight w:val="none"/>
        </w:rPr>
        <w:t xml:space="preserve">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</w:t>
      </w:r>
      <w:r>
        <w:rPr>
          <w:iCs/>
          <w:sz w:val="24"/>
          <w:szCs w:val="24"/>
          <w:highlight w:val="none"/>
        </w:rPr>
        <w:t xml:space="preserve">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ГАРАНТИИ КАЧЕСТВА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78"/>
        <w:numPr>
          <w:ilvl w:val="1"/>
          <w:numId w:val="1"/>
        </w:numPr>
        <w:contextualSpacing w:val="0"/>
        <w:ind w:left="709" w:hanging="709"/>
        <w:jc w:val="both"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Разрешение на ввод Объекта недвижимости в эксплуатацию, выданное в установленном порядке.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78"/>
        <w:numPr>
          <w:ilvl w:val="1"/>
          <w:numId w:val="1"/>
        </w:numPr>
        <w:contextualSpacing w:val="0"/>
        <w:ind w:left="709" w:hanging="709"/>
        <w:jc w:val="both"/>
        <w:tabs>
          <w:tab w:val="clear" w:pos="1093" w:leader="none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Согласно части 5 стат</w:t>
      </w:r>
      <w:r>
        <w:rPr>
          <w:sz w:val="24"/>
          <w:szCs w:val="24"/>
        </w:rPr>
        <w:t xml:space="preserve">ьи 7 Закона № 214-ФЗ Гарантийный срок для Объекта долевого строительства, за исключением технологического и инженерного оборудования, входящего в состав Объекта долевого строительства, составляет 3 (Три) года со дня передачи Объекта долевого строительства </w:t>
      </w:r>
      <w:r>
        <w:rPr>
          <w:iCs/>
          <w:sz w:val="24"/>
          <w:szCs w:val="24"/>
        </w:rPr>
        <w:t xml:space="preserve">УЧАСТНИКУ ДОЛЕВОГО СТРОИТЕЛЬСТВА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78"/>
        <w:numPr>
          <w:ilvl w:val="1"/>
          <w:numId w:val="1"/>
        </w:numPr>
        <w:contextualSpacing w:val="0"/>
        <w:ind w:left="709" w:hanging="709"/>
        <w:jc w:val="both"/>
        <w:tabs>
          <w:tab w:val="clear" w:pos="1093" w:leader="none"/>
        </w:tabs>
      </w:pPr>
      <w:r>
        <w:rPr>
          <w:sz w:val="24"/>
          <w:szCs w:val="24"/>
        </w:rPr>
        <w:t xml:space="preserve">Согласно части 5.1. статьи 7 Зако</w:t>
      </w:r>
      <w:r>
        <w:rPr>
          <w:sz w:val="24"/>
          <w:szCs w:val="24"/>
        </w:rPr>
        <w:t xml:space="preserve">на № 214-ФЗ Гарантийный срок на технологическое и инженерное оборудование, входящее в состав Объекта долевого строительства, составляет 3 (Три) года со дня подписания первого передаточного акта или иного документа о передаче объекта долевого строительства.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</w:r>
      <w:r/>
    </w:p>
    <w:p>
      <w:pPr>
        <w:ind w:left="720" w:hanging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ОБЯЗАННОСТИ ЗАСТРОЙЩИКА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 окончании строительства и получения ЗАСТРОЙЩИКОМ Разрешени</w:t>
      </w:r>
      <w:r>
        <w:rPr>
          <w:sz w:val="24"/>
          <w:szCs w:val="24"/>
        </w:rPr>
        <w:t xml:space="preserve">я на ввод Объекта недвижимости в эксплуатацию,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 изменений в проектной документации на строительство Объекта долевого строительства информировать УЧАСТНИКА ДОЛЕВОГО СТРОИТЕЛЬСТВА о соответствующих изменениях в порядке и в сроки, предусмотренные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20" w:hanging="54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ОБЯЗАННОСТИ УЧАСТНИКА ДОЛЕВОГО СТРОИТЕЛЬСТВА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Уплатить Цену Договора в сроки и в порядке, установленном настоящим Договором.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случаях, предусмотренных настоящим Договором, подписать необходимые дополнительные соглашения к настоящему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Осуществить действия, направленные на го</w:t>
      </w:r>
      <w:r>
        <w:rPr>
          <w:sz w:val="24"/>
          <w:szCs w:val="24"/>
        </w:rPr>
        <w:t xml:space="preserve">сударственную регистрацию настоящего Договора в регистрирующем органе, в том числе предоставить Застройщику информацию, необходимую для электронной регистрации настоящего Договора, не позднее 7 (Семи) календарных дней с даты подписания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В случае если в указанный срок УЧАСТНИК ДОЛЕВОГО СТРОИТЕЛЬСТВА не совершит вышеуказанные действия и не представит ЗАСТРОЙЩИКУ запрашиваемую информацию, настоящий Договор считается не подписанным и не подлежит государственной регистрации.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Принять Объект долевого строительства по Передаточному акту в порядке, установленном настоящим Договором.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После передачи Объекта долевого строительства УЧАСТНИКУ ДОЛЕВОГО СТРОИТЕЛЬСТВА по Передаточному акту</w:t>
      </w:r>
      <w:r>
        <w:rPr>
          <w:sz w:val="24"/>
          <w:szCs w:val="24"/>
        </w:rPr>
        <w:t xml:space="preserve"> УЧАСТНИК ДОЛЕВОГО СТРОИТЕЛЬСТВА обязан нести расходы по содержанию Объекта долевого строительства, а также участвовать в расходах на содержание общего имущества в Объекте недвижимости, в котором располагается Объект долевого строительства, соразмерно доле</w:t>
      </w:r>
      <w:r>
        <w:rPr>
          <w:sz w:val="24"/>
          <w:szCs w:val="24"/>
        </w:rPr>
        <w:t xml:space="preserve"> в праве общей собственности на это имущество, для чего заключить с эксплуатирующей организацией договоры о предоставлении коммунальных услуг и о долевом участии в расходах по содержанию, ремонту и техническому обслуживанию Объекта недвижимости, в котором </w:t>
      </w:r>
      <w:r>
        <w:rPr>
          <w:sz w:val="24"/>
          <w:szCs w:val="24"/>
        </w:rPr>
        <w:t xml:space="preserve">располагается Объект долевого строительства, прилегающей территории, а также заключить соглашение о передаче эксплуатирующей организации прав по управлению своей долей площади, находящейся в общей долевой собственности в вышеуказанном Объекте недвижимости.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Уклонение УЧАСТНИКОМ ДОЛЕВОГО СТРОИТЕЛЬСТВА от заключения с эксплуатирующей организацией договоров на эксплуатацию Объекта недвижимости и предоставление жилищно-коммунальных услуг не освобождает УЧАСТНИКА ДОЛЕВОГО СТРОИТЕЛЬСТВА от обязанности по во</w:t>
      </w:r>
      <w:r>
        <w:rPr>
          <w:sz w:val="24"/>
          <w:szCs w:val="24"/>
        </w:rPr>
        <w:t xml:space="preserve">змещению расходов по оплате всех фактически произведенных эксплуатирующей организацией затрат, связанных с эксплуатацией Объекта недвижимости, соразмерно площади Объекта долевого строительства и соответствующей доли общего имущества в Объекте недвижимости.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20" w:hanging="54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ОСОБЫЕ УСЛОВИЯ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num" w:pos="709" w:leader="none"/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Подписанием настоящего Договора УЧАСТНИК ДОЛЕВОГО СТРОИТЕЛЬСТВА дает письменное согласие на осуществление в процессе строительства и/или после окончания строительства Объекта недвижимости и ввода его в эксплуатаци</w:t>
      </w:r>
      <w:r>
        <w:rPr>
          <w:sz w:val="24"/>
          <w:szCs w:val="24"/>
        </w:rPr>
        <w:t xml:space="preserve">ю ЗАСТРОЙЩИКОМ землеустроительных работ (определение границ, межевание, постановка на кадастровый учет, снятие с кадастрового учета и т.п.), связанных с образованием из земельного участка, расположенного непосредственно под Объектом недвижимости, а равно д</w:t>
      </w:r>
      <w:r>
        <w:rPr>
          <w:sz w:val="24"/>
          <w:szCs w:val="24"/>
        </w:rPr>
        <w:t xml:space="preserve">ругих земельных участков, расположенных под любыми другими возводимыми и/или возведенными отдельно стоящими зданиями/строениями/сооружениями и необходимыми для их эксплуатации и использования в соответствии с правилами и требованиями земельного и иного дей</w:t>
      </w:r>
      <w:r>
        <w:rPr>
          <w:sz w:val="24"/>
          <w:szCs w:val="24"/>
        </w:rPr>
        <w:t xml:space="preserve">ствующего законодательства, с последующим осуществлением всех необходимых и достаточных процедур, связанных с постановкой на кадастровый учет и внесением во все соответствующие государственные реестры данных в отношении вновь образуемых земельных участков.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Если в ре</w:t>
      </w:r>
      <w:r>
        <w:rPr>
          <w:sz w:val="24"/>
          <w:szCs w:val="24"/>
        </w:rPr>
        <w:t xml:space="preserve">зультате правовой экспертизы представленных документов Регистрирующий орган даст заключение о невозможности регистрации настоящего Договора, дополнительных соглашений к Договору либо оформления права собственности УЧАСТНИКА ДОЛЕВОГО СТРОИТЕЛЬСТВА на Объект</w:t>
      </w:r>
      <w:r>
        <w:rPr>
          <w:sz w:val="24"/>
          <w:szCs w:val="24"/>
        </w:rPr>
        <w:t xml:space="preserve"> долевого строительства в соответствии с предметом или условиями настоящего Договора, Стороны обязаны привести свои взаимоотношения в соответствие с требованиями Регистрирующего органа, в том числе путем составления и подписания соответствующих документов.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</w:t>
      </w:r>
      <w:r>
        <w:rPr>
          <w:sz w:val="24"/>
          <w:szCs w:val="24"/>
        </w:rPr>
        <w:t xml:space="preserve">ЕЛЬСТВА вправе уступать права и обязанности по настоящему Договору третьим лицам после оплаты Цены Договора, установленной разделом 4 настоящего Договора. Уступка прав и обязанностей по настоящему Договору допускается не ранее государственной регистрации н</w:t>
      </w:r>
      <w:r>
        <w:rPr>
          <w:sz w:val="24"/>
          <w:szCs w:val="24"/>
        </w:rPr>
        <w:t xml:space="preserve">астоящего Договора и до подписания Передаточного акта</w:t>
      </w:r>
      <w:r>
        <w:rPr>
          <w:sz w:val="24"/>
          <w:szCs w:val="24"/>
        </w:rPr>
        <w:t xml:space="preserve">, и исключительно с письменного согласия Застройщика</w:t>
      </w:r>
      <w:r>
        <w:rPr>
          <w:sz w:val="24"/>
          <w:szCs w:val="24"/>
        </w:rPr>
        <w:t xml:space="preserve">.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размере, установленном разделом 4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в обязательном порядке обязан уведомить нового участника долевого строительства путем включения в договор уступки прав </w:t>
      </w:r>
      <w:r>
        <w:rPr>
          <w:sz w:val="24"/>
          <w:szCs w:val="24"/>
        </w:rPr>
        <w:br/>
        <w:t xml:space="preserve">и обязанностей по настоящему Договору (далее – Договор уступки) условия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о необходимости письменно уведомить ЗАСТРОЙЩИКА в течение 5 (Пяти) рабочих дней о состоявшейся ус</w:t>
      </w:r>
      <w:r>
        <w:rPr>
          <w:sz w:val="24"/>
          <w:szCs w:val="24"/>
        </w:rPr>
        <w:t xml:space="preserve">тупке прав и обязанностей по настоящему Договору путем предоставления оригинала Договора уступки с отметкой о государственной регистрации Договора уступки, а также последствиях несоблюдения положений ч. 3. ст. 382 Гражданского кодекса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В случае неполной оплаты Цены Договора, установленной разделом 4 настоящего Договора, УЧАСТНИК ДОЛЕВОГО СТРОИТЕЛЬСТВА вправе уступать права и обязанности по настоящему Договору третьим лицам при условии письменного согласования ЗАСТРОЙЩИКОМ такой уступки.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ув</w:t>
      </w:r>
      <w:r>
        <w:rPr>
          <w:sz w:val="24"/>
          <w:szCs w:val="24"/>
        </w:rPr>
        <w:t xml:space="preserve">едомлен о том, что в течение 1 (Одного) рабочего дня с даты государственной регистрации Договора уступки необходимо с оригиналом зарегистрированного договора обратиться к Эскроу-агенту в целях информирования Эскроу-агента о смене депонента по счету эскроу.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Уступка прав требования по настоящему Договору, в т.ч. неустойки (штрафов, пени), возмещения причиненных убытков сверх неустойки, без уступки основного обязательства по настоящему Договору (п. 3.1. настоящего Договора) не допускается.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С</w:t>
      </w:r>
      <w:r>
        <w:rPr>
          <w:sz w:val="24"/>
          <w:szCs w:val="24"/>
          <w:highlight w:val="none"/>
        </w:rPr>
        <w:t xml:space="preserve">тороны признают, что личность УЧАСТНИКА ДОЛЕВОГО СТРОИТЕЛЬСТВА имеет существенное значение для Застройщика. В случае совершения УЧАСТНИКОМ ДОЛЕВОГО СТРОИТЕЛЬСТВА уступки по Договору без согласия Застройщика, Застройщик вправе отказаться от исполнения Догов</w:t>
      </w:r>
      <w:r>
        <w:rPr>
          <w:sz w:val="24"/>
          <w:szCs w:val="24"/>
          <w:highlight w:val="none"/>
        </w:rPr>
        <w:t xml:space="preserve">о</w:t>
      </w:r>
      <w:r>
        <w:rPr>
          <w:sz w:val="24"/>
          <w:szCs w:val="24"/>
          <w:highlight w:val="none"/>
        </w:rPr>
        <w:t xml:space="preserve">ра в одностороннем порядке с применением последствий согласно положениям о расторжении договора участия в долевом строительстве, предусмотренным Законом №214-ФЗ. Застройщик также вправе потребовать от УЧАСТНИКА ДОЛЕВОГО СТРОИТЕЛЬСТВА, а УЧАСТНИК ДОЛЕВОГО С</w:t>
      </w:r>
      <w:r>
        <w:rPr>
          <w:sz w:val="24"/>
          <w:szCs w:val="24"/>
          <w:highlight w:val="none"/>
        </w:rPr>
        <w:t xml:space="preserve">Т</w:t>
      </w:r>
      <w:r>
        <w:rPr>
          <w:sz w:val="24"/>
          <w:szCs w:val="24"/>
          <w:highlight w:val="none"/>
        </w:rPr>
        <w:t xml:space="preserve">РОИТЕЛЬСТВА в таком случае обязуется уплатить штраф в размере 20% от Цены Договора, а в случае уступки денежных требований – штраф в размере 100% от размера (суммы) уступленных требований; также Застройщик вправе потребовать признания заключенных сделок по</w:t>
      </w:r>
      <w:r>
        <w:rPr>
          <w:sz w:val="24"/>
          <w:szCs w:val="24"/>
          <w:highlight w:val="none"/>
        </w:rPr>
        <w:t xml:space="preserve"> уступке недействительными в установленном законом порядке. Все последующие уступки прав требований, совершаемые новым участником долевого строительства, осуществляются при условии письменного согласия Застройщика.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подтверждает и га</w:t>
      </w:r>
      <w:r>
        <w:rPr>
          <w:sz w:val="24"/>
          <w:szCs w:val="24"/>
        </w:rPr>
        <w:t xml:space="preserve">рантирует, что на момент подписания настоящего Договора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</w:t>
      </w:r>
      <w:r>
        <w:rPr>
          <w:sz w:val="24"/>
          <w:szCs w:val="24"/>
        </w:rPr>
        <w:t xml:space="preserve">ельства, вынуждающие совершить сделку на крайне невыгодных для себя условиях, находится в здравом уме и твердой памяти, действует добровольно, понимает содержание Договора, права и обязанности, вытекающие из него, а также последствия нарушения его условий.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</w:t>
      </w:r>
      <w:r>
        <w:rPr>
          <w:sz w:val="24"/>
          <w:szCs w:val="24"/>
        </w:rPr>
        <w:t xml:space="preserve">РОИТЕЛЬСТВА ознакомлен с тем, что Объект недвижимости строится по индивидуальному проекту и является уникальным архитектурным решением. Нарушение условий эксплуатации Объекта недвижимости (включая, но не ограничиваясь размещением на фасаде Объекта недвижим</w:t>
      </w:r>
      <w:r>
        <w:rPr>
          <w:sz w:val="24"/>
          <w:szCs w:val="24"/>
        </w:rPr>
        <w:t xml:space="preserve">ости внешних блоков кондиционеров и иного инженерного оборудования вне отведенных мест) является нарушением архитектурного облика дома, а также прав автора, что может повлечь за собой ответственность, предусмотренную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уведомлен и согласен с тем, что в процессе строительства Объекта недвижимости возможны архитектурные, структурные и иные изменения, замена строительных материалов и оборудо</w:t>
      </w:r>
      <w:r>
        <w:rPr>
          <w:sz w:val="24"/>
          <w:szCs w:val="24"/>
        </w:rPr>
        <w:t xml:space="preserve">вания, изменение расположения и выполнения электрических щитков, стояков отопления, вентиляционных и иных шахт и прочего оборудования в Объекте долевого строительства (в том числе изменение решения о наличии/отсутствии  каркасов, пилонов указанного оборудо</w:t>
      </w:r>
      <w:r>
        <w:rPr>
          <w:sz w:val="24"/>
          <w:szCs w:val="24"/>
        </w:rPr>
        <w:t xml:space="preserve">вания), а также другие изменения, осуществляющиеся путем внесения изменений и (или) корректировок в проектную документацию Объекта недвижимости в порядке, предусмотренном действующим законодательством Российской Федерации. Стороны пришли к соглашению, что </w:t>
      </w:r>
      <w:r>
        <w:rPr>
          <w:sz w:val="24"/>
          <w:szCs w:val="24"/>
        </w:rPr>
        <w:t xml:space="preserve">изменения Объекта долевого строительства не являются существенными, если в результате их выполнения площадь Объекта долевого строительства изменится в пределах 5 (Пяти) процентов по отношению к проектной площади, согласно п. 2 ч. 1.1. ст. 9 Закона №214-ФЗ.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В случае наличия на плане (Приложение № 2 к настоящему Договору) обозначений межкомнатных стен/перегородок, окон и дверей, ванн, унитазов, умывальников</w:t>
      </w:r>
      <w:r>
        <w:rPr>
          <w:sz w:val="24"/>
          <w:szCs w:val="24"/>
        </w:rPr>
        <w:t xml:space="preserve">, раковин, электрических щитков, вентиляционных и иных шахт и прочего оборудования, их расположение будет носить условный характер, и может быть изменено ЗАСТРОЙЩИКОМ в одностороннем порядке без дополнительного уведомления УЧАСТНИКА ДОЛЕВОГО СТРОИТЕЛЬСТВА.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hanging="709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9.7. Стороны договорились, что УЧАСТНИК ДОЛЕВОГО СТРОИТЕЛЬСТВА соглашается с подбором Застройщиком формы управления Объектом недвижимости и управляющей организацией для принятия, обслуживания Объекта недвижимости, предоставления услуг по ремонту и</w:t>
      </w:r>
      <w:r>
        <w:rPr>
          <w:sz w:val="24"/>
          <w:szCs w:val="24"/>
        </w:rPr>
        <w:t xml:space="preserve"> содержанию общего имущества Объекта недвижимости и коммунальных услуг (ресурсов). УЧАСТНИК ДОЛЕВОГО СТРОИТЕЛЬСТВА выражает согласие на заключение в будущем договора на управление Объектом недвижимости с управляющей организацией, предложенной Застройщиком.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ОТВЕТСТВЕННОСТЬ СТОРОН. ПОРЯДОК РАЗРЕШЕНИЯ СПОРОВ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Законом № 214-ФЗ.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не вправе устанавливать внешние блоки кондиционеров, а также другие дополнительны</w:t>
      </w:r>
      <w:r>
        <w:rPr>
          <w:sz w:val="24"/>
          <w:szCs w:val="24"/>
        </w:rPr>
        <w:t xml:space="preserve">е конструкции на фасаде Объекта недвижимости в местах, отличных от мест, предусмотренных проектной документацией. В случае нарушения УЧАСТНИКОМ ДОЛЕВОГО СТРОИТЕЛЬСТВА норм указанного пункта, он уплачивает ЗАСТРОЙЩИКУ штраф – 10 (Десять) % от Цены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части, не оговоренной в настоящем разделе, Стороны несут ответственность в соответствии с действующим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</w:pPr>
      <w:r>
        <w:rPr>
          <w:sz w:val="24"/>
          <w:szCs w:val="24"/>
        </w:rPr>
        <w:t xml:space="preserve">Все споры, разногласи</w:t>
      </w:r>
      <w:r>
        <w:rPr>
          <w:sz w:val="24"/>
          <w:szCs w:val="24"/>
        </w:rPr>
        <w:t xml:space="preserve">я и претензии, которые могут возникнуть в связи с исполнением настоящего Договора, Стороны будут стремиться решить путем переговоров. При недостижении согласия Стороны передают спор на рассмотрение в суд по месту нахождения объекта долевого строительства. </w:t>
      </w:r>
      <w:r/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</w:t>
      </w:r>
      <w:r>
        <w:rPr>
          <w:sz w:val="24"/>
          <w:szCs w:val="24"/>
        </w:rPr>
        <w:t xml:space="preserve">ретензию в соответствии с предметом спора. При ведении Сторонами претензионной работы срок рассмотрения претензии и предоставления ответов на них составляет 20 (Двадцать) рабочих дней с момента получения одной из Сторон письменной претензии другой Стороны.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ОБСТОЯТЕЛЬСТВА НЕПРЕОДОЛИМОЙ СИЛЫ (ФОРС-МАЖОР)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Стороны будут освобождены от ответственности за полное или частичное невыполнение ими своих обязательств, если неисполнение явилось следствием форс-мажорных обстоятельств.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 форс-мажорным обстоятельствам относятся события, на которые Стороны не могут оказать влияние и за возникновение которых они не несут ответственность. В рамках настоящего Договора такими обстоятельств</w:t>
      </w:r>
      <w:r>
        <w:rPr>
          <w:sz w:val="24"/>
          <w:szCs w:val="24"/>
        </w:rPr>
        <w:t xml:space="preserve">ами Стороны считают: стихийные бедствия (как природного, так и техногенного характера); военные действия; террористические акты; иные обстоятельства, не зависящие от воли Сторон, непосредственно повлиявшие на исполнение обязательств по настоящему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Сторона, для которой создалась невозможность исполнения обязательств, обязана уведомить другую Сторону об их наступлении и прекращении в письменной форме (любыми средствами связи).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 момента наступления форс-мажорных обстоятельств сроки обязательств по настоящему Договору отодвигаются на время действия таких обстоятельств.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Объект недвижимости не введен в эксплуатацию и объект долевого строительства не передан УЧАСТНИКУ ДОЛЕВОГО СТРОИТЕЛЬСТВА в срок, указанный в настоящем Договоре, не по вине Застройщика, а по обстоятельствам непреодоли</w:t>
      </w:r>
      <w:r>
        <w:rPr>
          <w:sz w:val="24"/>
          <w:szCs w:val="24"/>
        </w:rPr>
        <w:t xml:space="preserve">мой силы, Застройщик и УЧАСТНИК ДОЛЕВОГО СТРОИТЕЛЬСТВА обязуются заключить дополнительное соглашение, в котором устанавливают новый срок передачи объекта долевого строительства УЧАСТНИКУ ДОЛЕВОГО СТРОИТЕЛЬСТВА без применения штрафных санкций к Застройщику.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24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РАСТОРЖЕНИЕ И ИЗМЕНЕНИЕ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Расторжение или изменение настоящего Договора должно быть оформлено Сторонами в письменном виде путем подписания ими Соглашения о расторжении Договора </w:t>
      </w:r>
      <w:r>
        <w:rPr>
          <w:sz w:val="24"/>
          <w:szCs w:val="24"/>
        </w:rPr>
        <w:br/>
        <w:t xml:space="preserve">или Дополнительного соглашения, за исключением случаев, указанных в п. 12.2.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num" w:pos="709" w:leader="none"/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Односторонний отказ Сторон от исполнения настоящего Договора не допускается, за исключением случаев, прямо предусмотренных Законом № 214-ФЗ. При наступлении такого случая настоящий Договор считается расторгнутым со дня направления другой </w:t>
      </w:r>
      <w:r>
        <w:rPr>
          <w:sz w:val="24"/>
          <w:szCs w:val="24"/>
        </w:rPr>
        <w:t xml:space="preserve">Стороне уведомления об одностороннем отказе от исполнения настоящего Договора по почте заказным письмом с описью вложения, если иной порядок не предусмотрен законом.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hanging="709"/>
        <w:jc w:val="both"/>
        <w:spacing w:line="240" w:lineRule="auto"/>
        <w:widowControl/>
        <w:tabs>
          <w:tab w:val="num" w:pos="709" w:leader="none"/>
          <w:tab w:val="clear" w:pos="1093" w:leader="none"/>
        </w:tabs>
      </w:pPr>
      <w:r>
        <w:rPr>
          <w:sz w:val="24"/>
          <w:szCs w:val="24"/>
          <w:highlight w:val="none"/>
        </w:rPr>
        <w:t xml:space="preserve">12.3.</w:t>
        <w:tab/>
        <w:tab/>
        <w:tab/>
        <w:tab/>
        <w:tab/>
        <w:t xml:space="preserve">    </w:t>
      </w:r>
      <w:r>
        <w:rPr>
          <w:sz w:val="24"/>
          <w:szCs w:val="24"/>
          <w:highlight w:val="none"/>
        </w:rPr>
        <w:t xml:space="preserve">Основания для одностороннего отказа </w:t>
      </w:r>
      <w:r>
        <w:rPr>
          <w:sz w:val="24"/>
          <w:szCs w:val="24"/>
          <w:highlight w:val="none"/>
        </w:rPr>
        <w:t xml:space="preserve">Застройщика и </w:t>
      </w:r>
      <w:r>
        <w:rPr>
          <w:sz w:val="24"/>
          <w:szCs w:val="24"/>
          <w:highlight w:val="none"/>
        </w:rPr>
        <w:t xml:space="preserve">УЧАСТНИКА ДОЛЕВОГО СТРОИТЕЛЬСТВА от исполнения Договора установлены Законом №214-ФЗ.</w:t>
      </w:r>
      <w:r>
        <w:rPr>
          <w:sz w:val="24"/>
          <w:szCs w:val="24"/>
        </w:rPr>
      </w:r>
      <w:r/>
    </w:p>
    <w:p>
      <w:pPr>
        <w:ind w:left="709" w:hanging="709"/>
        <w:jc w:val="both"/>
        <w:tabs>
          <w:tab w:val="num" w:pos="709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СООБЩЕНИЯ И УВЕДОМЛЕНИЯ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Сообщения и уведомления, осуществляемые в порядке, предусмотренном Законом </w:t>
      </w:r>
      <w:r>
        <w:rPr>
          <w:sz w:val="24"/>
          <w:szCs w:val="24"/>
        </w:rPr>
        <w:br/>
        <w:t xml:space="preserve">№ 214-ФЗ: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2"/>
          <w:numId w:val="1"/>
        </w:numPr>
        <w:ind w:left="709" w:hanging="709"/>
        <w:jc w:val="both"/>
        <w:spacing w:line="240" w:lineRule="auto"/>
        <w:widowControl/>
        <w:tabs>
          <w:tab w:val="clear" w:pos="72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 одностороннего отказа одной из Сторон от исполнения Договора, уведомление направляется по почте заказным письмом с описью вложения.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2"/>
          <w:numId w:val="1"/>
        </w:numPr>
        <w:ind w:left="709" w:hanging="709"/>
        <w:jc w:val="both"/>
        <w:spacing w:line="240" w:lineRule="auto"/>
        <w:widowControl/>
        <w:tabs>
          <w:tab w:val="clear" w:pos="72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(Один) месяц до наступл</w:t>
      </w:r>
      <w:r>
        <w:rPr>
          <w:sz w:val="24"/>
          <w:szCs w:val="24"/>
        </w:rPr>
        <w:t xml:space="preserve">ения установленного срока передачи по почте заказным письмом с описью вложения и уведомлением о вручении по почтовому адресу, указанному УЧАСТНИКОМ ДОЛЕВОГО СТРОИТЕЛЬСТВА в настоящем Договоре или вручено УЧАСТНИКУ ДОЛЕВОГО СТРОИТЕЛЬСТВА лично под расписку.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Стороны обя</w:t>
      </w:r>
      <w:r>
        <w:rPr>
          <w:sz w:val="24"/>
          <w:szCs w:val="24"/>
        </w:rPr>
        <w:t xml:space="preserve">заны письменно информировать друг друга об изменении своего места 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настоящему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УЧАСТНИК ДОЛЕВОГО СТРОИТЕЛЬСТВА направляет уведомления ЗАСТРОЙЩИКУ по адресу для направления корреспонденции (</w:t>
      </w:r>
      <w:r>
        <w:rPr>
          <w:sz w:val="24"/>
          <w:szCs w:val="24"/>
        </w:rPr>
        <w:t xml:space="preserve">614105, Пермский край, </w:t>
      </w:r>
      <w:r>
        <w:rPr>
          <w:sz w:val="24"/>
          <w:szCs w:val="24"/>
        </w:rPr>
        <w:t xml:space="preserve">г.о</w:t>
      </w:r>
      <w:r>
        <w:rPr>
          <w:sz w:val="24"/>
          <w:szCs w:val="24"/>
        </w:rPr>
        <w:t xml:space="preserve">. Пермский, г. Пермь, мкр. Новые Ляды, ул. 40-летия Победы, зд. 10б</w:t>
      </w:r>
      <w:r>
        <w:rPr>
          <w:sz w:val="24"/>
          <w:szCs w:val="24"/>
        </w:rPr>
        <w:t xml:space="preserve">) или адресу электронной почты ЗАСТРОЙЩИКА, указанному в разделе 15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</w:pPr>
      <w:r>
        <w:rPr>
          <w:sz w:val="24"/>
          <w:szCs w:val="24"/>
        </w:rPr>
        <w:t xml:space="preserve">Любые уведомления/сообщения по настоящему Договору совершаются в письменной форме и, если иное не предусмотрено Договором, вру</w:t>
      </w:r>
      <w:r>
        <w:rPr>
          <w:sz w:val="24"/>
          <w:szCs w:val="24"/>
        </w:rPr>
        <w:t xml:space="preserve">чаются лично уполномоченному представителю под расписку либо направляются в виде заказного письма или телеграммы с уведомлением, направленным в отношении Застройщика/Участника - в соответствии с его реквизитами, указанными в разделе 15 настоящего Договора.</w:t>
      </w:r>
      <w:r/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</w:pPr>
      <w:r>
        <w:rPr>
          <w:sz w:val="24"/>
          <w:szCs w:val="24"/>
        </w:rPr>
        <w:t xml:space="preserve">Любое уведомление, направленное в связи с настоящим Договором, считается полученным:</w:t>
      </w:r>
      <w:r/>
    </w:p>
    <w:p>
      <w:pPr>
        <w:pStyle w:val="1249"/>
        <w:numPr>
          <w:ilvl w:val="0"/>
          <w:numId w:val="124"/>
        </w:numPr>
        <w:ind w:firstLine="0"/>
        <w:jc w:val="both"/>
        <w:spacing w:line="240" w:lineRule="auto"/>
        <w:widowControl/>
        <w:tabs>
          <w:tab w:val="left" w:pos="992" w:leader="none"/>
        </w:tabs>
      </w:pPr>
      <w:r>
        <w:rPr>
          <w:sz w:val="24"/>
          <w:szCs w:val="24"/>
        </w:rPr>
        <w:t xml:space="preserve">в случае передачи лично или курьером – в момент передачи;</w:t>
      </w:r>
      <w:r/>
    </w:p>
    <w:p>
      <w:pPr>
        <w:pStyle w:val="1249"/>
        <w:numPr>
          <w:ilvl w:val="0"/>
          <w:numId w:val="124"/>
        </w:numPr>
        <w:ind w:firstLine="0"/>
        <w:jc w:val="both"/>
        <w:spacing w:line="240" w:lineRule="auto"/>
        <w:widowControl/>
        <w:tabs>
          <w:tab w:val="left" w:pos="992" w:leader="none"/>
        </w:tabs>
      </w:pPr>
      <w:r>
        <w:rPr>
          <w:sz w:val="24"/>
          <w:szCs w:val="24"/>
        </w:rPr>
        <w:t xml:space="preserve">в случае передачи по почте или курьерской службой – в момент доставки;</w:t>
      </w:r>
      <w:r/>
    </w:p>
    <w:p>
      <w:pPr>
        <w:pStyle w:val="1249"/>
        <w:ind w:left="709" w:hanging="709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ab/>
        <w:t xml:space="preserve">В случае уклонения адресата от получения уведомления либ</w:t>
      </w:r>
      <w:r>
        <w:rPr>
          <w:sz w:val="24"/>
          <w:szCs w:val="24"/>
        </w:rPr>
        <w:t xml:space="preserve">о его отсутствия по адресу доставки уведомления, несмотря на любые положения настоящей статьи Договора об обратном, оно считается полученным в момент отметки почтовой или курьерской службы об отсутствии адресата либо его уклонении от получения уведомления.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Уведомление со стороны</w:t>
      </w:r>
      <w:r>
        <w:rPr>
          <w:sz w:val="24"/>
          <w:szCs w:val="24"/>
        </w:rPr>
        <w:t xml:space="preserve"> ЗАСТРОЙЩИКА, за исключением уведомлений, направляемых согласно п. 13.1.1–13.1.2 настоящего Договора, считается надлежащим в случае его публикации в средствах массовой информации и (или) размещения в информационно-телекоммуникационных сетях общего пользова</w:t>
      </w:r>
      <w:r>
        <w:rPr>
          <w:sz w:val="24"/>
          <w:szCs w:val="24"/>
        </w:rPr>
        <w:t xml:space="preserve">ния, в том числе на сайте ЗАСТРОЙЩИКА, а также в случае отправки уведомлений по адресу электронной почты и/или путем направления СMС-сообщений на номер мобильного телефона УЧАСТНИКА ДОЛЕВОГО СТРОИТЕЛЬСТВА, которые указаны в разделе 15.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ЗАКЛЮЧИТЕЛЬНЫЕ ПОЛОЖЕНИЯ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Обязательства ЗАСТРОЙЩИКА считаются исполненными с момента подписания Сторонами Передаточного 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Обязательства УЧАСТНИКА ДОЛЕВОГО СТРОИТЕЛЬСТВА считаются исполненными с момента уплаты в полном объеме денежных средств в соответствии с настоящим Договором и подписания Передаточного 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Договор, дополнительные соглашения к Договору подлежат государственной регистрации в органах, осуществляющих государственную регистрацию прав на недвижимое имущество и сделок с ним, и считаются заключенными с момента регистрации.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Все расходы по государственной регистрации настоящего Договора, дополнительных соглашений к Договору, права собственности УЧАСТНИКА ДОЛЕВОГО </w:t>
      </w:r>
      <w:r>
        <w:rPr>
          <w:sz w:val="24"/>
          <w:szCs w:val="24"/>
        </w:rPr>
        <w:t xml:space="preserve">СТРОИТЕЛЬСТВА на Объект долевого строительства, оплачиваются Сторонами в соответствии с нормами действующего законодательства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Особенности обработки персональных данных.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57"/>
        <w:ind w:left="709"/>
        <w:jc w:val="both"/>
        <w:keepNext w:val="0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Настоящим УЧАСТНИК ДОЛЕВОГО СТРОИТЕЛЬСТВА, являющийся субъектом персональных данных, дает Застройщику, выступающему оператором персональных данных, свое согласие на обработку своих персональны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х данных (в том числе: фамилия, имя, отчество Участника долевого строительства, пол, место и дата рождения, паспортные данные (в том числе, серия, номер паспорта, кем и когда выдан, код подразделения), гражданство, адрес регистрации, почтовый адрес, контак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тные телефоны (основной и дополнительный), адрес электронной почты, данные о документах-основаниях приобретения прав на Объект долевого строительства (номер, дата и наименование сторон договора участия в долевом строительстве, номер, дата и наименование ст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орон договора уступки прав по договору долевого участия, номер, дата и наименование сторон Передаточного акта) в целях надлежащего исполнения Застройщиком обязательств по настоящему Договору и положений действующего законодательства Российской Федерации.  </w:t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</w:p>
    <w:p>
      <w:pPr>
        <w:pStyle w:val="1056"/>
        <w:ind w:left="709" w:right="0"/>
        <w:jc w:val="both"/>
        <w:keepNext w:val="0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УЧАСТНИК ДОЛЕВОГО СТРОИТЕЛЬСТВА, как субъект персональных данных дает согласие на совершение ЗАСТРОЙЩИКОМ в качестве оператора персональных данных любых действий (операций) или совокупности действий (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аспространение, предоставление, доступ), обезличивание, блокирование, удаление, уничтожение персональных данных, а также передачу (предоставление) персональных данных страховой организации (обществу взаимного страхования), осуществляющей страхование гражда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нской ответственности ЗАСТРОЙЩИКА за неисполнение или ненадлежащее исполнение обязательств по передаче жилого помещения по Договору, управляющей компании, а также органу, осуществляющему государственный кадастровый учет и государственную регистрацию прав, </w:t>
      </w:r>
      <w:r>
        <w:rPr>
          <w:rFonts w:ascii="Times New Roman" w:hAnsi="Times New Roman"/>
          <w:b w:val="0"/>
          <w:bCs w:val="0"/>
          <w:sz w:val="24"/>
          <w:szCs w:val="24"/>
          <w:highlight w:val="white"/>
        </w:rPr>
        <w:t xml:space="preserve">Эскроу-агенту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и, при необходимости, иным организациям и  государственным органам и органам ме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стного самоуправления, с использованием баз данных, находящихся на территории Российской Федерации. УЧАСТНИК ДОЛЕВОГО СТРОИТЕЛЬСТВА дает свое согласие на получение от Застройщика информационных и рекламных смс-сообщений по телефонам, указанным в Договоре. </w:t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</w:p>
    <w:p>
      <w:pPr>
        <w:pStyle w:val="1056"/>
        <w:ind w:left="709" w:right="0"/>
        <w:jc w:val="both"/>
        <w:keepNext w:val="0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Настоящее согласие на обработку персональных данных действует в течение 7 (Семи) лет с даты его предоставления. </w:t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</w:p>
    <w:p>
      <w:pPr>
        <w:pStyle w:val="1056"/>
        <w:ind w:left="709" w:right="0"/>
        <w:jc w:val="both"/>
        <w:keepNext w:val="0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В случае уступки УЧАСТНИКОМ ДОЛЕВОГО СТРОИТЕЛЬСТВА своих прав и обязанностей по настоящему Договору иному лицу, согласие на обработку персональных данных, указанное в настоящем пункте Договора, считается выданным Новым Участником долевого строительства.</w:t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</w:p>
    <w:p>
      <w:pPr>
        <w:ind w:left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В случае </w:t>
      </w:r>
      <w:r>
        <w:rPr>
          <w:sz w:val="24"/>
          <w:szCs w:val="24"/>
          <w:lang w:eastAsia="en-US"/>
        </w:rPr>
        <w:t xml:space="preserve">предоставления УЧАСТНИКОМ ДОЛЕВОГО СТРОИТЕЛЬСТВА контактных данных (номера телефона, адрес электронной почты) ЗАСТРОЙЩИК имеет право по предоставленным контактным данным информировать его о ходе исполнения Договора путем осуществления звонков, направления </w:t>
      </w:r>
      <w:r>
        <w:rPr>
          <w:sz w:val="24"/>
          <w:szCs w:val="24"/>
          <w:lang w:eastAsia="en-US"/>
        </w:rPr>
        <w:t xml:space="preserve">СМС-сообщений</w:t>
      </w:r>
      <w:r>
        <w:rPr>
          <w:sz w:val="24"/>
          <w:szCs w:val="24"/>
          <w:lang w:eastAsia="en-US"/>
        </w:rPr>
        <w:t xml:space="preserve"> и/или сообщений по </w:t>
      </w:r>
      <w:r>
        <w:rPr>
          <w:sz w:val="24"/>
          <w:szCs w:val="24"/>
          <w:lang w:eastAsia="en-US"/>
        </w:rPr>
        <w:t xml:space="preserve">электронной почте. Для целей реализации данного условия УЧАСТНИК ДОЛЕВОГО СТРОИТЕЛЬСТВА обязан своевременно сообщать актуальные контактные данные, а в случае отказа от информирования своевременно обращаться с заявлением о прекращении такого информирования.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В соответствии с частью 1 и частью 2 статьи 18.1 Федерального з</w:t>
      </w:r>
      <w:r>
        <w:rPr>
          <w:sz w:val="24"/>
          <w:szCs w:val="24"/>
          <w:lang w:eastAsia="en-US"/>
        </w:rPr>
        <w:t xml:space="preserve">акона от 27.07.2006 № 152-ФЗ «О персональных данных» ЗАСТРОЙЩИК самостоятельно определяет состав и перечень мер, необходимых и достаточных для обеспечения выполнения обязанностей, предусмотренных нормативными правовыми актами в области персональных данных.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Учитывая положения статей 410 и 411 Гражданского кодекса Российской Федерации, Стороны договорились, что зачет встречных однородных требований в рамках настоящего Договора возможен только по письменному соглашению Сторон.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Каждая из Сторон имели неограниченную реальную возможность влиять на содержание настоящего Договора, предлагать формулировки его условий, исключать и добавлять те или иные положения Договора, в связи с чем настоящий Договор следует рассматривать как п</w:t>
      </w:r>
      <w:r>
        <w:rPr>
          <w:sz w:val="24"/>
          <w:szCs w:val="24"/>
          <w:highlight w:val="none"/>
        </w:rPr>
        <w:t xml:space="preserve">одготовленный, а все формулировки настоящего Договора – предложенными Сторонами совместно, и обстоятельства подготовки настоящего Договора не должны влиять на толкование его условий и распределение бремени доказывания между Сторонами.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составлен в 3 (Трех) экземплярах: один экземпляр для ЗАСТРОЙЩИКА, один экземпляр для УЧАСТНИКА ДОЛЕВОГО СТРОИТЕЛЬСТВА, один экземпляр для Банка. Все экземпляры имеют равную юридическую силу.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numPr>
          <w:ilvl w:val="1"/>
          <w:numId w:val="1"/>
        </w:numPr>
        <w:ind w:left="709" w:hanging="709"/>
        <w:jc w:val="both"/>
        <w:spacing w:line="240" w:lineRule="auto"/>
        <w:widowControl/>
        <w:tabs>
          <w:tab w:val="clear" w:pos="10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Приложения к настоящему Договору, являющиеся его неотъемлемой частью: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Приложение №1 – Основные характеристики Объекта недвижимости.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Приложение №2 – </w:t>
      </w:r>
      <w:r>
        <w:rPr>
          <w:sz w:val="24"/>
          <w:szCs w:val="24"/>
        </w:rPr>
        <w:t xml:space="preserve">Расположение Объекта долевого строительств на плане этажа объекта в пределах секции (подъезда). План Объекта долевого строительства.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tabs>
          <w:tab w:val="left" w:pos="222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Приложение №3 – Состояние Объекта долевого строительства к моменту передачи УЧАСТНИКУ ДОЛЕВОГО СТРОИТЕЛЬСТВА.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49"/>
        <w:ind w:left="709"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0"/>
        <w:jc w:val="both"/>
        <w:spacing w:line="283" w:lineRule="atLeast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МЕСТОНАХОЖДЕНИЕ И РЕКВИЗИТЫ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5244"/>
        <w:gridCol w:w="4252"/>
      </w:tblGrid>
      <w:tr>
        <w:tblPrEx/>
        <w:trPr>
          <w:trHeight w:val="302"/>
        </w:trPr>
        <w:tc>
          <w:tcPr>
            <w:tcW w:w="524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Застройщик: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1056"/>
              <w:jc w:val="both"/>
              <w:keepNext w:val="0"/>
              <w:spacing w:line="28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/>
                <w:bCs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ООО «</w:t>
            </w: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Новый Звездный</w:t>
            </w:r>
            <w:r>
              <w:rPr>
                <w:b/>
                <w:bCs/>
                <w:color w:val="000000" w:themeColor="text1"/>
                <w:sz w:val="24"/>
                <w:szCs w:val="24"/>
                <w:highlight w:val="white"/>
              </w:rPr>
              <w:t xml:space="preserve">»</w:t>
            </w:r>
            <w:r>
              <w:rPr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Юридический адрес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color w:val="000000" w:themeColor="text1"/>
                <w:sz w:val="24"/>
                <w:szCs w:val="24"/>
              </w:rPr>
              <w:t xml:space="preserve">614105, Пермский край, </w:t>
            </w:r>
            <w:r>
              <w:rPr>
                <w:color w:val="000000" w:themeColor="text1"/>
                <w:sz w:val="24"/>
                <w:szCs w:val="24"/>
              </w:rPr>
              <w:t xml:space="preserve">г.о</w:t>
            </w:r>
            <w:r>
              <w:rPr>
                <w:color w:val="000000" w:themeColor="text1"/>
                <w:sz w:val="24"/>
                <w:szCs w:val="24"/>
              </w:rPr>
              <w:t xml:space="preserve">. Пермский, г. Пермь, мкр. Новые Ляды, ул. 40-летия Победы, зд. 10б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ИНН/КПП: </w:t>
            </w:r>
            <w:r>
              <w:rPr>
                <w:color w:val="000000" w:themeColor="text1"/>
                <w:sz w:val="24"/>
                <w:szCs w:val="24"/>
              </w:rPr>
              <w:t xml:space="preserve">5902061480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/</w:t>
            </w:r>
            <w:r>
              <w:rPr>
                <w:color w:val="000000" w:themeColor="text1"/>
                <w:sz w:val="24"/>
                <w:szCs w:val="24"/>
              </w:rPr>
              <w:t xml:space="preserve">590401001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ОГРН:</w:t>
            </w:r>
            <w: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1215900015968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р/с:</w:t>
            </w:r>
            <w:r>
              <w:t xml:space="preserve"> </w:t>
            </w:r>
            <w: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40702810103000165528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в ПАО «Банк ПСБ»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к/с 30101810400000000555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БИК 044525555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bCs/>
                <w:sz w:val="24"/>
                <w:szCs w:val="24"/>
              </w:rPr>
              <w:t xml:space="preserve">адрес электронной почты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: </w:t>
            </w:r>
            <w:r>
              <w:rPr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perm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@</w:t>
            </w:r>
            <w:r>
              <w:rPr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psbsd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.</w:t>
            </w:r>
            <w:r>
              <w:rPr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ru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83" w:lineRule="atLeas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  <w:r>
              <w:rPr>
                <w:iCs/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jc w:val="both"/>
              <w:spacing w:line="283" w:lineRule="atLea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Участник долевого строительства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Адрес электронной почты 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Мобильный телефон </w: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</w:tr>
    </w:tbl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left="709"/>
        <w:jc w:val="both"/>
        <w:spacing w:line="283" w:lineRule="atLeast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241"/>
        <w:ind w:right="0"/>
        <w:spacing w:line="283" w:lineRule="atLeas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709" w:right="0" w:hanging="709"/>
        <w:jc w:val="both"/>
        <w:spacing w:line="283" w:lineRule="atLeast"/>
        <w:tabs>
          <w:tab w:val="clear" w:pos="3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ПОДПИСИ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83"/>
        <w:ind w:left="709" w:right="0" w:firstLine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Подписывая настоящий Договор, Стороны согласовывают все условия, содержащиеся как в самом Договоре, так и в Приложениях № 1, 2, 3 к нему, и подтверждают, что проставление отдельных подписей под каждым приложением к Договору не требуется.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i w:val="0"/>
          <w:iCs w:val="0"/>
          <w:sz w:val="24"/>
          <w:szCs w:val="24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</w:r>
      <w:r>
        <w:rPr>
          <w:rFonts w:ascii="Times New Roman" w:hAnsi="Times New Roman" w:cs="Times New Roman"/>
          <w:i w:val="0"/>
          <w:sz w:val="24"/>
          <w:szCs w:val="24"/>
        </w:rPr>
      </w:r>
      <w:r>
        <w:rPr>
          <w:rFonts w:ascii="Times New Roman" w:hAnsi="Times New Roman" w:cs="Times New Roman"/>
          <w:i w:val="0"/>
          <w:sz w:val="24"/>
          <w:szCs w:val="24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</w:p>
    <w:tbl>
      <w:tblPr>
        <w:tblW w:w="0" w:type="auto"/>
        <w:tblInd w:w="709" w:type="dxa"/>
        <w:tblLayout w:type="fixed"/>
        <w:tblLook w:val="01E0" w:firstRow="1" w:lastRow="1" w:firstColumn="1" w:lastColumn="1" w:noHBand="0" w:noVBand="0"/>
      </w:tblPr>
      <w:tblGrid>
        <w:gridCol w:w="4253"/>
        <w:gridCol w:w="5244"/>
      </w:tblGrid>
      <w:tr>
        <w:tblPrEx/>
        <w:trPr>
          <w:trHeight w:val="280"/>
        </w:trPr>
        <w:tc>
          <w:tcPr>
            <w:tcW w:w="4253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Застройщик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____________________ 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Участник долевого строительства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8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r>
        <w:br w:type="page" w:clear="all"/>
      </w:r>
      <w:r/>
    </w:p>
    <w:p>
      <w:pPr>
        <w:jc w:val="both"/>
        <w:spacing w:line="283" w:lineRule="atLeast"/>
      </w:pPr>
      <w:r/>
      <w:r/>
    </w:p>
    <w:p>
      <w:pPr>
        <w:jc w:val="right"/>
        <w:spacing w:line="283" w:lineRule="atLeas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line="283" w:lineRule="atLeast"/>
        <w:rPr>
          <w:bCs/>
          <w:sz w:val="22"/>
          <w:szCs w:val="22"/>
        </w:rPr>
      </w:pPr>
      <w:r>
        <w:rPr>
          <w:sz w:val="24"/>
          <w:szCs w:val="24"/>
        </w:rPr>
        <w:t xml:space="preserve">к Договору участия в долевом строительстве № от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1283"/>
        <w:ind w:left="0" w:firstLine="567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sz w:val="22"/>
          <w:szCs w:val="22"/>
        </w:rPr>
        <w:fldChar w:fldCharType="begin"/>
      </w:r>
      <w:r>
        <w:rPr>
          <w:rFonts w:ascii="Times New Roman" w:hAnsi="Times New Roman" w:cs="Times New Roman"/>
          <w:bCs/>
          <w:i w:val="0"/>
          <w:sz w:val="22"/>
          <w:szCs w:val="22"/>
        </w:rPr>
        <w:instrText xml:space="preserve"> DOCVARIABLE  ПредставлениеДоговора  \* MERGEFORMAT </w:instrText>
      </w:r>
      <w:r>
        <w:rPr>
          <w:rFonts w:ascii="Times New Roman" w:hAnsi="Times New Roman" w:cs="Times New Roman"/>
          <w:bCs/>
          <w:i w:val="0"/>
          <w:sz w:val="22"/>
          <w:szCs w:val="22"/>
        </w:rPr>
        <w:fldChar w:fldCharType="end"/>
      </w:r>
      <w:r>
        <w:rPr>
          <w:rFonts w:ascii="Times New Roman" w:hAnsi="Times New Roman" w:cs="Times New Roman"/>
          <w:bCs/>
          <w:i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ОСНОВНЫЕ ХАРАКТЕРИСТИКИ ОБЪЕКТА НЕДВИЖИМОСТИ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jc w:val="both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86"/>
        <w:ind w:right="0" w:firstLine="567"/>
        <w:spacing w:line="283" w:lineRule="atLeast"/>
        <w:shd w:val="clear" w:color="auto" w:fill="auto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ПОДПИСИ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5103"/>
        <w:gridCol w:w="5244"/>
      </w:tblGrid>
      <w:tr>
        <w:tblPrEx/>
        <w:trPr>
          <w:trHeight w:val="280"/>
        </w:trPr>
        <w:tc>
          <w:tcPr>
            <w:tcW w:w="510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Застройщик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____________________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 долевого строительства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______________________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right"/>
        <w:spacing w:line="283" w:lineRule="atLeast"/>
        <w:rPr>
          <w:sz w:val="24"/>
          <w:szCs w:val="24"/>
        </w:rPr>
      </w:pPr>
      <w:r>
        <w:rPr>
          <w:sz w:val="24"/>
          <w:szCs w:val="24"/>
        </w:rPr>
        <w:t xml:space="preserve">Приложение № 2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line="283" w:lineRule="atLeast"/>
        <w:rPr>
          <w:sz w:val="24"/>
          <w:szCs w:val="24"/>
        </w:rPr>
      </w:pPr>
      <w:r>
        <w:rPr>
          <w:sz w:val="24"/>
          <w:szCs w:val="24"/>
        </w:rPr>
        <w:t xml:space="preserve">к Договору участия в долевом строительстве № от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83"/>
        <w:ind w:left="0" w:firstLine="567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sz w:val="22"/>
          <w:szCs w:val="22"/>
        </w:rPr>
      </w:r>
    </w:p>
    <w:p>
      <w:pPr>
        <w:ind w:firstLine="567"/>
        <w:jc w:val="both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  <w:highlight w:val="yellow"/>
        </w:rPr>
      </w:pPr>
      <w:r>
        <w:rPr>
          <w:b/>
          <w:bCs/>
          <w:sz w:val="22"/>
          <w:szCs w:val="22"/>
        </w:rPr>
        <w:t xml:space="preserve">2.1. </w:t>
      </w:r>
      <w:r>
        <w:rPr>
          <w:b/>
          <w:bCs/>
          <w:sz w:val="22"/>
          <w:szCs w:val="22"/>
          <w:highlight w:val="yellow"/>
        </w:rPr>
        <w:t xml:space="preserve">РАСПОЛОЖЕНИЕ ОБЪЕКТА ДОЛЕВОГО СТРОИТЕЛЬСТВ НА ПЛАНЕ ЭТАЖА ОБЪЕКТА В ПРЕДЕЛАХ СЕКЦИИ (ПОДЪЕЗДА)</w:t>
      </w:r>
      <w:r>
        <w:rPr>
          <w:b/>
          <w:bCs/>
          <w:sz w:val="22"/>
          <w:szCs w:val="22"/>
          <w:highlight w:val="yellow"/>
        </w:rPr>
      </w:r>
      <w:r>
        <w:rPr>
          <w:b/>
          <w:bCs/>
          <w:sz w:val="22"/>
          <w:szCs w:val="22"/>
          <w:highlight w:val="yellow"/>
        </w:rPr>
      </w:r>
    </w:p>
    <w:p>
      <w:pPr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  <w:highlight w:val="yellow"/>
        </w:rPr>
      </w:pPr>
      <w:r/>
      <w:bookmarkStart w:id="2" w:name="undefined"/>
      <w:r/>
      <w:sdt>
        <w:sdtPr>
          <w:alias w:val="миПланировка"/>
          <w15:appearance w15:val="boundingBox"/>
          <w:id w:val="-807698417"/>
          <w:placeholder>
            <w:docPart w:val="46eebb46bcf245d2bcee668a78204d64"/>
          </w:placeholder>
          <w:tag w:val="миПланировка"/>
          <w:rPr>
            <w:b/>
            <w:bCs/>
            <w:sz w:val="22"/>
            <w:highlight w:val="yellow"/>
          </w:rPr>
        </w:sdtPr>
        <w:sdtContent>
          <w:r>
            <w:rPr>
              <w:b/>
              <w:bCs/>
              <w:sz w:val="22"/>
              <w:szCs w:val="22"/>
              <w:highlight w:val="yellow"/>
            </w:rPr>
            <w:t xml:space="preserve">ПЛАНИРОВКА</w:t>
          </w:r>
        </w:sdtContent>
      </w:sdt>
      <w:r/>
      <w:bookmarkEnd w:id="2"/>
      <w:r>
        <w:rPr>
          <w:b/>
          <w:bCs/>
          <w:sz w:val="22"/>
          <w:szCs w:val="22"/>
          <w:highlight w:val="yellow"/>
        </w:rPr>
      </w:r>
      <w:r>
        <w:rPr>
          <w:b/>
          <w:bCs/>
          <w:sz w:val="22"/>
          <w:szCs w:val="22"/>
          <w:highlight w:val="yellow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firstLine="567"/>
        <w:jc w:val="center"/>
        <w:spacing w:line="283" w:lineRule="atLeast"/>
        <w:shd w:val="clear" w:color="auto" w:fill="ffffff"/>
        <w:tabs>
          <w:tab w:val="left" w:pos="567" w:leader="none"/>
          <w:tab w:val="left" w:pos="6840" w:leader="none"/>
        </w:tabs>
        <w:rPr>
          <w:b/>
          <w:bCs/>
          <w:sz w:val="22"/>
          <w:szCs w:val="22"/>
          <w:highlight w:val="yellow"/>
        </w:rPr>
      </w:pPr>
      <w:r>
        <w:rPr>
          <w:b/>
          <w:bCs/>
          <w:sz w:val="22"/>
          <w:szCs w:val="22"/>
        </w:rPr>
        <w:t xml:space="preserve">2.2. </w:t>
      </w:r>
      <w:r>
        <w:rPr>
          <w:b/>
          <w:bCs/>
          <w:sz w:val="22"/>
          <w:szCs w:val="22"/>
          <w:highlight w:val="yellow"/>
        </w:rPr>
        <w:t xml:space="preserve">ПЛАН ОБЪЕКТА ДОЛЕВОГО СТРОИТЕЛЬСТВА</w:t>
      </w:r>
      <w:r>
        <w:rPr>
          <w:b/>
          <w:bCs/>
          <w:sz w:val="22"/>
          <w:szCs w:val="22"/>
          <w:highlight w:val="yellow"/>
        </w:rPr>
      </w:r>
      <w:r>
        <w:rPr>
          <w:b/>
          <w:bCs/>
          <w:sz w:val="22"/>
          <w:szCs w:val="22"/>
          <w:highlight w:val="yellow"/>
        </w:rPr>
      </w:r>
    </w:p>
    <w:p>
      <w:pPr>
        <w:jc w:val="center"/>
        <w:spacing w:line="283" w:lineRule="atLeas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both"/>
        <w:spacing w:line="283" w:lineRule="atLeas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ПОДПИСИ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5103"/>
        <w:gridCol w:w="5244"/>
      </w:tblGrid>
      <w:tr>
        <w:tblPrEx/>
        <w:trPr>
          <w:trHeight w:val="280"/>
        </w:trPr>
        <w:tc>
          <w:tcPr>
            <w:tcW w:w="510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Застройщик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____________________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 долевого строительства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______________________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  <w:rPr>
          <w:iCs/>
          <w:sz w:val="22"/>
          <w:szCs w:val="22"/>
        </w:rPr>
      </w:pPr>
      <w:r>
        <w:rPr>
          <w:bCs/>
          <w:sz w:val="22"/>
          <w:szCs w:val="22"/>
        </w:rPr>
        <w:br w:type="page" w:clear="all"/>
      </w:r>
      <w:r>
        <w:rPr>
          <w:iCs/>
          <w:sz w:val="22"/>
          <w:szCs w:val="22"/>
        </w:rPr>
      </w:r>
      <w:r>
        <w:rPr>
          <w:iCs/>
          <w:sz w:val="22"/>
          <w:szCs w:val="22"/>
        </w:rPr>
      </w:r>
    </w:p>
    <w:p>
      <w:pPr>
        <w:jc w:val="right"/>
        <w:spacing w:line="283" w:lineRule="atLeast"/>
        <w:rPr>
          <w:sz w:val="24"/>
          <w:szCs w:val="24"/>
        </w:rPr>
      </w:pPr>
      <w:r>
        <w:rPr>
          <w:sz w:val="24"/>
          <w:szCs w:val="24"/>
        </w:rPr>
        <w:t xml:space="preserve">Приложение № 3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line="283" w:lineRule="atLeast"/>
        <w:rPr>
          <w:sz w:val="24"/>
          <w:szCs w:val="24"/>
        </w:rPr>
      </w:pPr>
      <w:r>
        <w:rPr>
          <w:sz w:val="24"/>
          <w:szCs w:val="24"/>
        </w:rPr>
        <w:t xml:space="preserve">к Договору участия в долевом строительстве № от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sz w:val="22"/>
          <w:szCs w:val="22"/>
        </w:rPr>
      </w:r>
    </w:p>
    <w:p>
      <w:pPr>
        <w:pStyle w:val="1283"/>
        <w:ind w:left="0" w:firstLine="567"/>
        <w:jc w:val="center"/>
        <w:spacing w:before="0" w:line="276" w:lineRule="auto"/>
        <w:widowControl/>
        <w:tabs>
          <w:tab w:val="left" w:pos="567" w:leader="none"/>
        </w:tabs>
        <w:rPr>
          <w:rFonts w:ascii="Times New Roman" w:hAnsi="Times New Roman" w:cs="Times New Roman"/>
          <w:b/>
          <w:bCs/>
          <w:i w:val="0"/>
          <w:sz w:val="22"/>
          <w:szCs w:val="22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СОСТОЯНИЕ ОБЪЕКТА ДОЛЕВОГО СТРОИТЕЛЬСТВА К МОМЕНТУ ПЕРЕДАЧИ УЧАСТНИКУ ДОЛЕВОГО СТРОИТЕЛЬСТВА</w:t>
      </w:r>
      <w:r>
        <w:rPr>
          <w:rFonts w:ascii="Times New Roman" w:hAnsi="Times New Roman" w:cs="Times New Roman"/>
          <w:b/>
          <w:bCs/>
          <w:i w:val="0"/>
          <w:sz w:val="22"/>
          <w:szCs w:val="22"/>
        </w:rPr>
      </w:r>
      <w:r>
        <w:rPr>
          <w:rFonts w:ascii="Times New Roman" w:hAnsi="Times New Roman" w:cs="Times New Roman"/>
          <w:b/>
          <w:bCs/>
          <w:i w:val="0"/>
          <w:sz w:val="22"/>
          <w:szCs w:val="22"/>
        </w:rPr>
      </w:r>
    </w:p>
    <w:p>
      <w:pPr>
        <w:jc w:val="both"/>
        <w:spacing w:line="276" w:lineRule="auto"/>
        <w:shd w:val="clear" w:color="auto" w:fill="ffffff"/>
        <w:tabs>
          <w:tab w:val="left" w:pos="567" w:leader="none"/>
          <w:tab w:val="left" w:pos="6840" w:leader="none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jc w:val="both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Сторонами согласовано, что в Объекте долевого строительства выполняются следующие виды работ: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p>
      <w:pPr>
        <w:numPr>
          <w:ilvl w:val="0"/>
          <w:numId w:val="153"/>
        </w:numPr>
        <w:ind w:left="0" w:firstLine="0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Общестроительные работы в соответствии с проектной документацией и в объеме, необходимом для получения Разрешения на ввод в эксплуатацию Объекта.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В местах общего пользования выполняется следующая отделка: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1256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7371"/>
      </w:tblGrid>
      <w:tr>
        <w:tblPrEx/>
        <w:trPr>
          <w:trHeight w:val="285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5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tabs>
                <w:tab w:val="left" w:pos="9780" w:leader="none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Вестибюли, лифтовые холлы, тамбуры, коридоры входных групп 1-х этажей, технические помещения, поэтажные лифтовые холлы, межквартирные коридоры, внутренние лестницы жилой части, технические и инженерные помещения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>
          <w:trHeight w:val="310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Отделочные работы в местах общего пользования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Внутри Объекта долевого строительства отделочные работы Застройщиком выполняются в полном объеме согласно проектной документации.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Потолки во внутренних общих помещениях: </w:t>
            </w:r>
            <w:r/>
          </w:p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Подвесной потолок по типу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Грильято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Подвесной потолок по типу «Армстронг», затирка, шпатлевка, покраска водоэмульсионной краской.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Лестничная клетка (этажные площадки):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Грунтовка глубокого проникновения, Шпаклевка, Краска влагостойкая RAL 9003 (в том числе низ лестничных маршей и площадок).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Полы: керамогранит.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Внутренняя отделка общих помещений: штукатурка стен, водоэмульсионная краска.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Установка приборов сантехнического оборудования - по проектной документации.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Оконные блоки – из ПВХ-профиля с двухкамерными стеклопакетами.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ПВХ-профиль с двухкамерным стеклопакетом в соответствии с проектной документацией.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Подоконники: ПВХ.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Электроосвещение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Установка в общих помещениях светодиодных светильников рабочего и аварийного освещения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Электроснабжение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Устанавливается наружный электрический щит. Для учета расхода электроэнергии квартирные счетчики электронные двухтарифные устанавливаются в электрическом щите на каждом этаже, согласно проектной документации.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Двери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Дверные блоки наружные входные в подъезды: металлические утепленные.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35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Дополнительная информация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Благоустройство, освещение территории – по проектной документации.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В жилых помещениях выполняется следующая отделка:</w:t>
      </w:r>
      <w:r>
        <w:rPr>
          <w:rFonts w:ascii="Times New Roman" w:hAnsi="Times New Roman" w:cs="Times New Roman"/>
          <w:bCs/>
        </w:rPr>
      </w:r>
      <w:r>
        <w:rPr>
          <w:rFonts w:ascii="Times New Roman" w:hAnsi="Times New Roman" w:cs="Times New Roman"/>
          <w:bCs/>
        </w:rPr>
      </w:r>
    </w:p>
    <w:tbl>
      <w:tblPr>
        <w:tblStyle w:val="1256"/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7371"/>
      </w:tblGrid>
      <w:tr>
        <w:tblPrEx/>
        <w:trPr>
          <w:trHeight w:val="362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5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Квартиры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>
          <w:trHeight w:val="250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Водоснабжение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Холодное и горячее водоснабжение - выполняется ввод в Объект долевого строительства до санитарного узла с установкой запорной арматуры, без заполнения трубной разводки под сантехническое оборудование.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На ответвлениях от стояков горячего и холодного водоснабжения устанавливается запорная арматура, приборы учета.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Канализация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Монтируется канализационный стояк с установкой фасонных частей (отводов) с заглушками без выполнения трубных разводок для подключения сантехнических приборов.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Вентиляция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Согласно проектной документации, размещенной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сайте:  https://наш.дом.рф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Отопление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Горизонтальная трубная разводка по полам с установкой радиаторов отопления производства Российской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Федерации 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соответствии с проектной документацией. Прокладка трубопроводов от поэтажного распределительного коллектора до отопительных приборов производится в конструкциях пола в защитной гофрированной трубе из ПНД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пешель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Установка отопительных приборов. 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Электроснабжение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Внутриквартирная разводка в квартирах не выполняется. </w:t>
            </w:r>
            <w:r/>
          </w:p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Устанавливается квартирный щит, подключенный к квартирному счетчику. Установка кухонной электрической плиты не предусмотрена.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каждой квартире устанавливается кнопка входного звонка снаружи и выпуск,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клемная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колодка внутри квартиры.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Центральная система домофонной связи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Система домофона предусматривает ввод кабеля в квартиру без установки оконечного устройства.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Отделочные 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Отделочные работы  не выполняются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ПВХ с двухкамерным стеклопакетом в соответствии с проектной документацией.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Витражи, лоджии: алюминиевый профиль с одинарным стеклом.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Подоконники: ПВХ.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Остекление лоджий: алюминиевый профиль с одинарным остеклением.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Двери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Входная дверь - металлическая.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Межкомнатные двери не устанавливаются.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Пожарная сигнализация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Устанавливаются датчики пожарной сигнализации в Объекте долевого строительства в соответствии с проектной документацией.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Сети связи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1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Подключение к сети кабельного телевидения, телефонной сети, сети передачи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данных 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интернет), сети проводного вещания (радио) осуществляется по отдельному договору Участника с поставщиками услуг (провайдерами).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Разводка проводов слаботочных систем (телевидение, интернет) выполняется только до поэтажного распределительного щита без ввода в квартиру. Система радиофикации предусматривает установку абонентских розеток внутри квартиры.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</w:r>
      <w:r>
        <w:rPr>
          <w:rFonts w:ascii="Times New Roman" w:hAnsi="Times New Roman" w:cs="Times New Roman"/>
          <w:sz w:val="24"/>
          <w:szCs w:val="24"/>
          <w:u w:val="single"/>
        </w:rPr>
      </w:r>
      <w:r>
        <w:rPr>
          <w:rFonts w:ascii="Times New Roman" w:hAnsi="Times New Roman" w:cs="Times New Roman"/>
          <w:sz w:val="24"/>
          <w:szCs w:val="24"/>
          <w:u w:val="single"/>
        </w:rPr>
      </w:r>
    </w:p>
    <w:p>
      <w:pPr>
        <w:jc w:val="both"/>
        <w:spacing w:line="276" w:lineRule="auto"/>
        <w:rPr>
          <w:rFonts w:ascii="Times New Roman" w:hAnsi="Times New Roman" w:eastAsia="Times New Roman" w:cs="Times New Roman"/>
          <w:sz w:val="24"/>
          <w:szCs w:val="24"/>
          <w:u w:val="singl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Общестроительные работы в соответствии с проектной документацией и в объеме необходимом для получения Разрешения на ввод в эксплуатацию Объекта, внутренние отделочные работы мест общего пользования (в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естибюли, лифтовые холлы, тамбуры, коридоры входных групп жилых секций 1-х этажей, технические помещения, поэтажные лифтовые холлы и межквартирные коридоры, внутренние лестницы жилой части, технические и инженерные помещения), наружные отделочные работы, э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лектромонтажные работы, установка лифтов, слаботочные системы и системы автоматики, внутренние и наружные инженерные сети и работы по благоустройству – выполняются в объеме, предусмотренном проектной документации, определяемом Застройщиком самостоятельно. </w:t>
      </w:r>
      <w:r>
        <w:rPr>
          <w:rFonts w:ascii="Times New Roman" w:hAnsi="Times New Roman" w:eastAsia="Times New Roman" w:cs="Times New Roman"/>
          <w:sz w:val="24"/>
          <w:szCs w:val="24"/>
          <w:u w:val="singl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  <w14:ligatures w14:val="none"/>
        </w:rPr>
      </w:r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ПОДПИСИ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</w:p>
    <w:p>
      <w:pPr>
        <w:pStyle w:val="1283"/>
        <w:ind w:left="0"/>
        <w:jc w:val="both"/>
        <w:spacing w:before="0" w:line="283" w:lineRule="atLeast"/>
        <w:widowControl/>
        <w:tabs>
          <w:tab w:val="left" w:pos="567" w:leader="none"/>
        </w:tabs>
        <w:rPr>
          <w:rFonts w:ascii="Times New Roman" w:hAnsi="Times New Roman" w:cs="Times New Roman"/>
          <w:bCs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  <w:r>
        <w:rPr>
          <w:rFonts w:ascii="Times New Roman" w:hAnsi="Times New Roman" w:cs="Times New Roman"/>
          <w:bCs/>
          <w:i w:val="0"/>
          <w:iCs w:val="0"/>
          <w:sz w:val="22"/>
          <w:szCs w:val="22"/>
        </w:rPr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5103"/>
        <w:gridCol w:w="5244"/>
      </w:tblGrid>
      <w:tr>
        <w:tblPrEx/>
        <w:trPr>
          <w:trHeight w:val="280"/>
        </w:trPr>
        <w:tc>
          <w:tcPr>
            <w:tcW w:w="510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Застройщик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____________________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 долевого строительства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______________________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spacing w:line="283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both"/>
        <w:spacing w:line="283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p>
      <w:pPr>
        <w:jc w:val="both"/>
        <w:spacing w:line="283" w:lineRule="atLeast"/>
      </w:pPr>
      <w:r/>
      <w:r/>
    </w:p>
    <w:sectPr>
      <w:headerReference w:type="default" r:id="rId10"/>
      <w:headerReference w:type="even" r:id="rId11"/>
      <w:headerReference w:type="first" r:id="rId12"/>
      <w:footerReference w:type="default" r:id="rId13"/>
      <w:footerReference w:type="even" r:id="rId14"/>
      <w:footerReference w:type="first" r:id="rId15"/>
      <w:footnotePr/>
      <w:endnotePr/>
      <w:type w:val="nextPage"/>
      <w:pgSz w:w="11906" w:h="16838" w:orient="portrait"/>
      <w:pgMar w:top="567" w:right="567" w:bottom="567" w:left="1134" w:header="0" w:footer="29" w:gutter="0"/>
      <w:cols w:num="1" w:sep="0" w:space="720" w:equalWidth="1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muginao@headoffice.psbank.local" w:date="2025-07-28T14:25:40Z" w:initials="m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Вспомогательные помещения: туалет, ванная, кухня, кладовая и т.п.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9A0012E" w16cex:dateUtc="2025-07-28T11:25:40Z"/>
</w16cex:commentsExtensible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59A001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nsolas">
    <w:panose1 w:val="020B0606020202030204"/>
  </w:font>
  <w:font w:name="Courier New">
    <w:panose1 w:val="02070409020205020404"/>
  </w:font>
  <w:font w:name="Tahoma">
    <w:panose1 w:val="020B0604030504040204"/>
  </w:font>
  <w:font w:name="Verdana">
    <w:panose1 w:val="020B0604030504040204"/>
  </w:font>
  <w:font w:name="TimesDL">
    <w:panose1 w:val="02000603000000000000"/>
  </w:font>
  <w:font w:name="Times New Roman">
    <w:panose1 w:val="02020603050405020304"/>
  </w:font>
  <w:font w:name="Calibri">
    <w:panose1 w:val="020F0502020204030204"/>
  </w:font>
  <w:font w:name="Noto Sans Symbols">
    <w:panose1 w:val="020B050204050402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86884348"/>
      <w:docPartObj>
        <w:docPartGallery w:val="Page Numbers (Bottom of Page)"/>
        <w:docPartUnique w:val="true"/>
      </w:docPartObj>
      <w:rPr>
        <w:sz w:val="22"/>
        <w:szCs w:val="22"/>
      </w:rPr>
    </w:sdtPr>
    <w:sdtContent>
      <w:p>
        <w:pPr>
          <w:pStyle w:val="1253"/>
          <w:jc w:val="center"/>
          <w:tabs>
            <w:tab w:val="clear" w:pos="4153" w:leader="none"/>
            <w:tab w:val="clear" w:pos="8306" w:leader="none"/>
          </w:tabs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PAGE   \* MERGEFORMAT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 xml:space="preserve">7</w:t>
        </w:r>
        <w:r>
          <w:rPr>
            <w:sz w:val="22"/>
            <w:szCs w:val="22"/>
          </w:rPr>
          <w:fldChar w:fldCharType="end"/>
        </w:r>
        <w:r>
          <w:rPr>
            <w:sz w:val="22"/>
            <w:szCs w:val="22"/>
          </w:rPr>
        </w:r>
        <w:r>
          <w:rPr>
            <w:sz w:val="22"/>
            <w:szCs w:val="22"/>
          </w:rPr>
        </w:r>
      </w:p>
    </w:sdtContent>
  </w:sdt>
  <w:p>
    <w:pPr>
      <w:pStyle w:val="1253"/>
      <w:tabs>
        <w:tab w:val="clear" w:pos="4153" w:leader="none"/>
        <w:tab w:val="clear" w:pos="8306" w:leader="none"/>
      </w:tabs>
      <w:rPr>
        <w:sz w:val="22"/>
        <w:szCs w:val="22"/>
      </w:rPr>
    </w:pPr>
    <w:r/>
    <w:bookmarkStart w:id="3" w:name="bar_code"/>
    <w:r/>
    <w:bookmarkEnd w:id="3"/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53"/>
      <w:rPr>
        <w:rStyle w:val="1237"/>
      </w:rPr>
      <w:framePr w:wrap="around" w:vAnchor="text" w:hAnchor="margin" w:xAlign="center" w:y="1"/>
    </w:pPr>
    <w:r>
      <w:rPr>
        <w:rStyle w:val="1237"/>
      </w:rPr>
      <w:fldChar w:fldCharType="begin"/>
    </w:r>
    <w:r>
      <w:rPr>
        <w:rStyle w:val="1237"/>
      </w:rPr>
      <w:instrText xml:space="preserve">PAGE  </w:instrText>
    </w:r>
    <w:r>
      <w:rPr>
        <w:rStyle w:val="1237"/>
      </w:rPr>
      <w:fldChar w:fldCharType="end"/>
    </w:r>
    <w:r>
      <w:rPr>
        <w:rStyle w:val="1237"/>
      </w:rPr>
    </w:r>
    <w:r>
      <w:rPr>
        <w:rStyle w:val="1237"/>
      </w:rPr>
    </w:r>
  </w:p>
  <w:p>
    <w:pPr>
      <w:pStyle w:val="125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5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4" w:hanging="360"/>
      </w:pPr>
      <w:rPr>
        <w:rFonts w:ascii="Times New Roman" w:hAnsi="Times New Roman" w:eastAsia="Times New Roman" w:cs="Times New Roman"/>
        <w:b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922" w:hanging="708"/>
      </w:pPr>
      <w:rPr>
        <w:rFonts w:ascii="Times New Roman" w:hAnsi="Times New Roman" w:eastAsia="Times New Roman" w:cs="Times New Roman"/>
        <w:b/>
        <w:sz w:val="24"/>
        <w:szCs w:val="24"/>
      </w:rPr>
    </w:lvl>
    <w:lvl w:ilvl="2">
      <w:start w:val="1"/>
      <w:numFmt w:val="bullet"/>
      <w:isLgl w:val="false"/>
      <w:suff w:val="tab"/>
      <w:lvlText w:val="•"/>
      <w:lvlJc w:val="left"/>
      <w:pPr>
        <w:ind w:left="980" w:hanging="708"/>
      </w:pPr>
    </w:lvl>
    <w:lvl w:ilvl="3">
      <w:start w:val="1"/>
      <w:numFmt w:val="bullet"/>
      <w:isLgl w:val="false"/>
      <w:suff w:val="tab"/>
      <w:lvlText w:val="•"/>
      <w:lvlJc w:val="left"/>
      <w:pPr>
        <w:ind w:left="2138" w:hanging="708"/>
      </w:pPr>
    </w:lvl>
    <w:lvl w:ilvl="4">
      <w:start w:val="1"/>
      <w:numFmt w:val="bullet"/>
      <w:isLgl w:val="false"/>
      <w:suff w:val="tab"/>
      <w:lvlText w:val="•"/>
      <w:lvlJc w:val="left"/>
      <w:pPr>
        <w:ind w:left="3296" w:hanging="708"/>
      </w:pPr>
    </w:lvl>
    <w:lvl w:ilvl="5">
      <w:start w:val="1"/>
      <w:numFmt w:val="bullet"/>
      <w:isLgl w:val="false"/>
      <w:suff w:val="tab"/>
      <w:lvlText w:val="•"/>
      <w:lvlJc w:val="left"/>
      <w:pPr>
        <w:ind w:left="4454" w:hanging="708"/>
      </w:pPr>
    </w:lvl>
    <w:lvl w:ilvl="6">
      <w:start w:val="1"/>
      <w:numFmt w:val="bullet"/>
      <w:isLgl w:val="false"/>
      <w:suff w:val="tab"/>
      <w:lvlText w:val="•"/>
      <w:lvlJc w:val="left"/>
      <w:pPr>
        <w:ind w:left="5613" w:hanging="708"/>
      </w:pPr>
    </w:lvl>
    <w:lvl w:ilvl="7">
      <w:start w:val="1"/>
      <w:numFmt w:val="bullet"/>
      <w:isLgl w:val="false"/>
      <w:suff w:val="tab"/>
      <w:lvlText w:val="•"/>
      <w:lvlJc w:val="left"/>
      <w:pPr>
        <w:ind w:left="6771" w:hanging="707"/>
      </w:pPr>
    </w:lvl>
    <w:lvl w:ilvl="8">
      <w:start w:val="1"/>
      <w:numFmt w:val="bullet"/>
      <w:isLgl w:val="false"/>
      <w:suff w:val="tab"/>
      <w:lvlText w:val="•"/>
      <w:lvlJc w:val="left"/>
      <w:pPr>
        <w:ind w:left="7929" w:hanging="708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525" w:hanging="525"/>
        <w:tabs>
          <w:tab w:val="num" w:pos="525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71" w:hanging="360"/>
        <w:tabs>
          <w:tab w:val="num" w:pos="97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91" w:hanging="360"/>
        <w:tabs>
          <w:tab w:val="num" w:pos="169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11" w:hanging="360"/>
        <w:tabs>
          <w:tab w:val="num" w:pos="241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31" w:hanging="360"/>
        <w:tabs>
          <w:tab w:val="num" w:pos="313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51" w:hanging="360"/>
        <w:tabs>
          <w:tab w:val="num" w:pos="3851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71" w:hanging="360"/>
        <w:tabs>
          <w:tab w:val="num" w:pos="457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91" w:hanging="360"/>
        <w:tabs>
          <w:tab w:val="num" w:pos="529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11" w:hanging="360"/>
        <w:tabs>
          <w:tab w:val="num" w:pos="6011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31" w:hanging="360"/>
        <w:tabs>
          <w:tab w:val="num" w:pos="6731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600" w:hanging="360"/>
        <w:tabs>
          <w:tab w:val="num" w:pos="60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00" w:hanging="720"/>
        <w:tabs>
          <w:tab w:val="num" w:pos="120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440" w:hanging="720"/>
        <w:tabs>
          <w:tab w:val="num" w:pos="144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040" w:hanging="1080"/>
        <w:tabs>
          <w:tab w:val="num" w:pos="20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280" w:hanging="1080"/>
        <w:tabs>
          <w:tab w:val="num" w:pos="22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880" w:hanging="1440"/>
        <w:tabs>
          <w:tab w:val="num" w:pos="28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120" w:hanging="1440"/>
        <w:tabs>
          <w:tab w:val="num" w:pos="312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720" w:hanging="1800"/>
        <w:tabs>
          <w:tab w:val="num" w:pos="3720" w:leader="none"/>
        </w:tabs>
      </w:pPr>
      <w:rPr>
        <w:rFonts w:hint="default"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5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0">
    <w:multiLevelType w:val="hybridMultilevel"/>
    <w:lvl w:ilvl="0">
      <w:start w:val="10"/>
      <w:numFmt w:val="bullet"/>
      <w:isLgl w:val="false"/>
      <w:suff w:val="tab"/>
      <w:lvlText w:val="-"/>
      <w:lvlJc w:val="left"/>
      <w:pPr>
        <w:ind w:left="1080" w:hanging="360"/>
        <w:tabs>
          <w:tab w:val="num" w:pos="108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2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  <w:tabs>
          <w:tab w:val="num" w:pos="48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48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00" w:hanging="720"/>
        <w:tabs>
          <w:tab w:val="num" w:pos="120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720"/>
        <w:tabs>
          <w:tab w:val="num" w:pos="144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040" w:hanging="1080"/>
        <w:tabs>
          <w:tab w:val="num" w:pos="20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280" w:hanging="1080"/>
        <w:tabs>
          <w:tab w:val="num" w:pos="22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1440"/>
        <w:tabs>
          <w:tab w:val="num" w:pos="28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120" w:hanging="1440"/>
        <w:tabs>
          <w:tab w:val="num" w:pos="312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720" w:hanging="1800"/>
        <w:tabs>
          <w:tab w:val="num" w:pos="3720" w:leader="none"/>
        </w:tabs>
      </w:pPr>
      <w:rPr>
        <w:rFonts w:hint="default"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50" w:hanging="360"/>
        <w:tabs>
          <w:tab w:val="num" w:pos="135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667" w:hanging="525"/>
        <w:tabs>
          <w:tab w:val="num" w:pos="667" w:leader="none"/>
        </w:tabs>
      </w:pPr>
      <w:rPr>
        <w:rFonts w:hint="default" w:cs="Times New Roman"/>
        <w:b w:val="0"/>
        <w:bCs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50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975" w:hanging="975"/>
        <w:tabs>
          <w:tab w:val="num" w:pos="975" w:leader="none"/>
        </w:tabs>
      </w:pPr>
      <w:rPr>
        <w:rFonts w:hint="default" w:ascii="Times New Roman" w:hAnsi="Times New Roman" w:eastAsia="Times New Roman"/>
      </w:rPr>
    </w:lvl>
    <w:lvl w:ilvl="1">
      <w:start w:val="1"/>
      <w:numFmt w:val="decimal"/>
      <w:isLgl/>
      <w:suff w:val="tab"/>
      <w:lvlText w:val="%1.%2."/>
      <w:lvlJc w:val="left"/>
      <w:pPr>
        <w:ind w:left="525" w:hanging="525"/>
        <w:tabs>
          <w:tab w:val="num" w:pos="525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590" w:hanging="870"/>
        <w:tabs>
          <w:tab w:val="num" w:pos="1590" w:leader="none"/>
        </w:tabs>
      </w:pPr>
      <w:rPr>
        <w:rFonts w:hint="default"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9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6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3"/>
      <w:numFmt w:val="decimal"/>
      <w:isLgl w:val="false"/>
      <w:suff w:val="tab"/>
      <w:lvlText w:val="%1.%2."/>
      <w:lvlJc w:val="left"/>
      <w:pPr>
        <w:ind w:left="733" w:hanging="450"/>
        <w:tabs>
          <w:tab w:val="num" w:pos="733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  <w:tabs>
          <w:tab w:val="num" w:pos="1286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  <w:tabs>
          <w:tab w:val="num" w:pos="1569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  <w:tabs>
          <w:tab w:val="num" w:pos="2212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  <w:tabs>
          <w:tab w:val="num" w:pos="2495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38" w:hanging="1440"/>
        <w:tabs>
          <w:tab w:val="num" w:pos="3138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  <w:tabs>
          <w:tab w:val="num" w:pos="3421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64" w:hanging="1800"/>
        <w:tabs>
          <w:tab w:val="num" w:pos="4064" w:leader="none"/>
        </w:tabs>
      </w:pPr>
      <w:rPr>
        <w:rFonts w:hint="default" w:cs="Times New Roman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7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33" w:hanging="450"/>
        <w:tabs>
          <w:tab w:val="num" w:pos="733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  <w:tabs>
          <w:tab w:val="num" w:pos="1286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  <w:tabs>
          <w:tab w:val="num" w:pos="1569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  <w:tabs>
          <w:tab w:val="num" w:pos="2212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  <w:tabs>
          <w:tab w:val="num" w:pos="2495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38" w:hanging="1440"/>
        <w:tabs>
          <w:tab w:val="num" w:pos="3138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  <w:tabs>
          <w:tab w:val="num" w:pos="3421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64" w:hanging="1800"/>
        <w:tabs>
          <w:tab w:val="num" w:pos="4064" w:leader="none"/>
        </w:tabs>
      </w:pPr>
      <w:rPr>
        <w:rFonts w:hint="default" w:cs="Times New Roman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2"/>
      <w:numFmt w:val="decimal"/>
      <w:isLgl/>
      <w:suff w:val="tab"/>
      <w:lvlText w:val="%1.%2."/>
      <w:lvlJc w:val="left"/>
      <w:pPr>
        <w:ind w:left="525" w:hanging="525"/>
        <w:tabs>
          <w:tab w:val="num" w:pos="525" w:leader="none"/>
        </w:tabs>
      </w:pPr>
      <w:rPr>
        <w:rFonts w:hint="default" w:cs="Times New Roman"/>
      </w:rPr>
    </w:lvl>
    <w:lvl w:ilvl="2">
      <w:start w:val="6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8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7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bCs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b/>
        <w:bCs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b/>
        <w:bCs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b/>
        <w:bCs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b/>
        <w:bCs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b/>
        <w:bCs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  <w:b/>
        <w:bCs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"/>
      <w:lvlJc w:val="left"/>
      <w:pPr>
        <w:ind w:left="648" w:hanging="360"/>
        <w:tabs>
          <w:tab w:val="num" w:pos="648" w:leader="none"/>
        </w:tabs>
      </w:pPr>
      <w:rPr>
        <w:rFonts w:hint="default" w:ascii="Wingdings" w:hAnsi="Wingdings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0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525" w:hanging="525"/>
        <w:tabs>
          <w:tab w:val="num" w:pos="525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08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765" w:hanging="525"/>
        <w:tabs>
          <w:tab w:val="num" w:pos="765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  <w:tabs>
          <w:tab w:val="num" w:pos="780" w:leader="none"/>
        </w:tabs>
      </w:pPr>
      <w:rPr>
        <w:rFonts w:hint="default" w:cs="Times New Roman"/>
      </w:rPr>
    </w:lvl>
    <w:lvl w:ilvl="2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  <w:tabs>
          <w:tab w:val="num" w:pos="2160" w:leader="none"/>
        </w:tabs>
      </w:pPr>
      <w:rPr>
        <w:rFonts w:hint="default" w:cs="Times New Roman"/>
      </w:rPr>
    </w:lvl>
  </w:abstractNum>
  <w:abstractNum w:abstractNumId="1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color w:val="auto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hint="default" w:ascii="Wingdings" w:hAnsi="Wingdings"/>
      </w:r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27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80" w:hanging="660"/>
        <w:tabs>
          <w:tab w:val="num" w:pos="1080" w:leader="none"/>
        </w:tabs>
      </w:pPr>
      <w:rPr>
        <w:rFonts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200" w:hanging="720"/>
        <w:tabs>
          <w:tab w:val="num" w:pos="1200" w:leader="none"/>
        </w:tabs>
      </w:pPr>
      <w:rPr>
        <w:rFonts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260" w:hanging="720"/>
        <w:tabs>
          <w:tab w:val="num" w:pos="1260" w:leader="none"/>
        </w:tabs>
      </w:pPr>
      <w:rPr>
        <w:rFonts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680" w:hanging="1080"/>
        <w:tabs>
          <w:tab w:val="num" w:pos="1680" w:leader="none"/>
        </w:tabs>
      </w:pPr>
      <w:rPr>
        <w:rFonts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740" w:hanging="1080"/>
        <w:tabs>
          <w:tab w:val="num" w:pos="1740" w:leader="none"/>
        </w:tabs>
      </w:pPr>
      <w:rPr>
        <w:rFonts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  <w:tabs>
          <w:tab w:val="num" w:pos="2160" w:leader="none"/>
        </w:tabs>
      </w:pPr>
      <w:rPr>
        <w:rFonts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0" w:hanging="1440"/>
        <w:tabs>
          <w:tab w:val="num" w:pos="2220" w:leader="none"/>
        </w:tabs>
      </w:pPr>
      <w:rPr>
        <w:rFonts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640" w:hanging="1800"/>
        <w:tabs>
          <w:tab w:val="num" w:pos="2640" w:leader="none"/>
        </w:tabs>
      </w:pPr>
      <w:rPr>
        <w:rFonts w:cs="Times New Roman"/>
      </w:rPr>
    </w:lvl>
  </w:abstractNum>
  <w:abstractNum w:abstractNumId="128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214" w:hanging="708"/>
      </w:pPr>
      <w:rPr>
        <w:rFonts w:ascii="Noto Sans Symbols" w:hAnsi="Noto Sans Symbols" w:eastAsia="Noto Sans Symbols" w:cs="Noto Sans Symbols"/>
        <w:sz w:val="24"/>
        <w:szCs w:val="24"/>
      </w:rPr>
    </w:lvl>
    <w:lvl w:ilvl="1">
      <w:start w:val="1"/>
      <w:numFmt w:val="bullet"/>
      <w:isLgl w:val="false"/>
      <w:suff w:val="tab"/>
      <w:lvlText w:val="•"/>
      <w:lvlJc w:val="left"/>
      <w:pPr>
        <w:ind w:left="1222" w:hanging="708"/>
      </w:pPr>
    </w:lvl>
    <w:lvl w:ilvl="2">
      <w:start w:val="1"/>
      <w:numFmt w:val="bullet"/>
      <w:isLgl w:val="false"/>
      <w:suff w:val="tab"/>
      <w:lvlText w:val="•"/>
      <w:lvlJc w:val="left"/>
      <w:pPr>
        <w:ind w:left="2225" w:hanging="708"/>
      </w:pPr>
    </w:lvl>
    <w:lvl w:ilvl="3">
      <w:start w:val="1"/>
      <w:numFmt w:val="bullet"/>
      <w:isLgl w:val="false"/>
      <w:suff w:val="tab"/>
      <w:lvlText w:val="•"/>
      <w:lvlJc w:val="left"/>
      <w:pPr>
        <w:ind w:left="3227" w:hanging="708"/>
      </w:pPr>
    </w:lvl>
    <w:lvl w:ilvl="4">
      <w:start w:val="1"/>
      <w:numFmt w:val="bullet"/>
      <w:isLgl w:val="false"/>
      <w:suff w:val="tab"/>
      <w:lvlText w:val="•"/>
      <w:lvlJc w:val="left"/>
      <w:pPr>
        <w:ind w:left="4230" w:hanging="708"/>
      </w:pPr>
    </w:lvl>
    <w:lvl w:ilvl="5">
      <w:start w:val="1"/>
      <w:numFmt w:val="bullet"/>
      <w:isLgl w:val="false"/>
      <w:suff w:val="tab"/>
      <w:lvlText w:val="•"/>
      <w:lvlJc w:val="left"/>
      <w:pPr>
        <w:ind w:left="5233" w:hanging="708"/>
      </w:pPr>
    </w:lvl>
    <w:lvl w:ilvl="6">
      <w:start w:val="1"/>
      <w:numFmt w:val="bullet"/>
      <w:isLgl w:val="false"/>
      <w:suff w:val="tab"/>
      <w:lvlText w:val="•"/>
      <w:lvlJc w:val="left"/>
      <w:pPr>
        <w:ind w:left="6235" w:hanging="708"/>
      </w:pPr>
    </w:lvl>
    <w:lvl w:ilvl="7">
      <w:start w:val="1"/>
      <w:numFmt w:val="bullet"/>
      <w:isLgl w:val="false"/>
      <w:suff w:val="tab"/>
      <w:lvlText w:val="•"/>
      <w:lvlJc w:val="left"/>
      <w:pPr>
        <w:ind w:left="7238" w:hanging="708"/>
      </w:pPr>
    </w:lvl>
    <w:lvl w:ilvl="8">
      <w:start w:val="1"/>
      <w:numFmt w:val="bullet"/>
      <w:isLgl w:val="false"/>
      <w:suff w:val="tab"/>
      <w:lvlText w:val="•"/>
      <w:lvlJc w:val="left"/>
      <w:pPr>
        <w:ind w:left="8240" w:hanging="708"/>
      </w:pPr>
    </w:lvl>
  </w:abstractNum>
  <w:abstractNum w:abstractNumId="1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4" w:hanging="1584"/>
      </w:pPr>
    </w:lvl>
  </w:abstractNum>
  <w:abstractNum w:abstractNumId="1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5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705" w:hanging="705"/>
        <w:tabs>
          <w:tab w:val="num" w:pos="705" w:leader="none"/>
        </w:tabs>
      </w:pPr>
      <w:rPr>
        <w:rFonts w:hint="default" w:cs="Times New Roman"/>
      </w:rPr>
    </w:lvl>
    <w:lvl w:ilvl="1">
      <w:start w:val="2"/>
      <w:numFmt w:val="decimal"/>
      <w:isLgl w:val="false"/>
      <w:suff w:val="tab"/>
      <w:lvlText w:val="%1.%2"/>
      <w:lvlJc w:val="left"/>
      <w:pPr>
        <w:ind w:left="705" w:hanging="705"/>
        <w:tabs>
          <w:tab w:val="num" w:pos="705" w:leader="none"/>
        </w:tabs>
      </w:pPr>
      <w:rPr>
        <w:rFonts w:hint="default" w:cs="Times New Roman"/>
      </w:rPr>
    </w:lvl>
    <w:lvl w:ilvl="2">
      <w:start w:val="6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cs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3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3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40">
    <w:multiLevelType w:val="hybridMultilevel"/>
    <w:lvl w:ilvl="0">
      <w:start w:val="4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93" w:hanging="525"/>
        <w:tabs>
          <w:tab w:val="num" w:pos="1093" w:leader="none"/>
        </w:tabs>
      </w:pPr>
      <w:rPr>
        <w:rFonts w:hint="default" w:cs="Times New Roman"/>
        <w:b w:val="0"/>
        <w:bCs w:val="0"/>
        <w:i w:val="0"/>
        <w:color w:val="00000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num w:numId="1">
    <w:abstractNumId w:val="118"/>
  </w:num>
  <w:num w:numId="2">
    <w:abstractNumId w:val="62"/>
  </w:num>
  <w:num w:numId="3">
    <w:abstractNumId w:val="140"/>
  </w:num>
  <w:num w:numId="4">
    <w:abstractNumId w:val="6"/>
  </w:num>
  <w:num w:numId="5">
    <w:abstractNumId w:val="135"/>
  </w:num>
  <w:num w:numId="6">
    <w:abstractNumId w:val="43"/>
  </w:num>
  <w:num w:numId="7">
    <w:abstractNumId w:val="72"/>
  </w:num>
  <w:num w:numId="8">
    <w:abstractNumId w:val="65"/>
  </w:num>
  <w:num w:numId="9">
    <w:abstractNumId w:val="95"/>
  </w:num>
  <w:num w:numId="10">
    <w:abstractNumId w:val="55"/>
  </w:num>
  <w:num w:numId="11">
    <w:abstractNumId w:val="136"/>
  </w:num>
  <w:num w:numId="12">
    <w:abstractNumId w:val="81"/>
  </w:num>
  <w:num w:numId="13">
    <w:abstractNumId w:val="61"/>
  </w:num>
  <w:num w:numId="14">
    <w:abstractNumId w:val="66"/>
  </w:num>
  <w:num w:numId="15">
    <w:abstractNumId w:val="63"/>
  </w:num>
  <w:num w:numId="16">
    <w:abstractNumId w:val="116"/>
  </w:num>
  <w:num w:numId="17">
    <w:abstractNumId w:val="104"/>
  </w:num>
  <w:num w:numId="1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9"/>
  </w:num>
  <w:num w:numId="22">
    <w:abstractNumId w:val="94"/>
  </w:num>
  <w:num w:numId="23">
    <w:abstractNumId w:val="119"/>
  </w:num>
  <w:num w:numId="24">
    <w:abstractNumId w:val="111"/>
  </w:num>
  <w:num w:numId="25">
    <w:abstractNumId w:val="20"/>
  </w:num>
  <w:num w:numId="26">
    <w:abstractNumId w:val="50"/>
  </w:num>
  <w:num w:numId="27">
    <w:abstractNumId w:val="14"/>
  </w:num>
  <w:num w:numId="28">
    <w:abstractNumId w:val="108"/>
  </w:num>
  <w:num w:numId="29">
    <w:abstractNumId w:val="22"/>
  </w:num>
  <w:num w:numId="30">
    <w:abstractNumId w:val="69"/>
  </w:num>
  <w:num w:numId="31">
    <w:abstractNumId w:val="85"/>
  </w:num>
  <w:num w:numId="32">
    <w:abstractNumId w:val="3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12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49"/>
  </w:num>
  <w:num w:numId="37">
    <w:abstractNumId w:val="139"/>
  </w:num>
  <w:num w:numId="38">
    <w:abstractNumId w:val="143"/>
  </w:num>
  <w:num w:numId="39">
    <w:abstractNumId w:val="98"/>
  </w:num>
  <w:num w:numId="40">
    <w:abstractNumId w:val="25"/>
  </w:num>
  <w:num w:numId="41">
    <w:abstractNumId w:val="18"/>
  </w:num>
  <w:num w:numId="42">
    <w:abstractNumId w:val="10"/>
  </w:num>
  <w:num w:numId="43">
    <w:abstractNumId w:val="2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4"/>
  </w:num>
  <w:num w:numId="45">
    <w:abstractNumId w:val="4"/>
  </w:num>
  <w:num w:numId="46">
    <w:abstractNumId w:val="128"/>
  </w:num>
  <w:num w:numId="47">
    <w:abstractNumId w:val="3"/>
  </w:num>
  <w:num w:numId="48">
    <w:abstractNumId w:val="34"/>
  </w:num>
  <w:num w:numId="49">
    <w:abstractNumId w:val="103"/>
  </w:num>
  <w:num w:numId="50">
    <w:abstractNumId w:val="90"/>
  </w:num>
  <w:num w:numId="51">
    <w:abstractNumId w:val="120"/>
  </w:num>
  <w:num w:numId="52">
    <w:abstractNumId w:val="130"/>
  </w:num>
  <w:num w:numId="53">
    <w:abstractNumId w:val="74"/>
  </w:num>
  <w:num w:numId="54">
    <w:abstractNumId w:val="92"/>
  </w:num>
  <w:num w:numId="55">
    <w:abstractNumId w:val="48"/>
  </w:num>
  <w:num w:numId="56">
    <w:abstractNumId w:val="58"/>
  </w:num>
  <w:num w:numId="57">
    <w:abstractNumId w:val="56"/>
  </w:num>
  <w:num w:numId="58">
    <w:abstractNumId w:val="138"/>
  </w:num>
  <w:num w:numId="59">
    <w:abstractNumId w:val="30"/>
  </w:num>
  <w:num w:numId="60">
    <w:abstractNumId w:val="27"/>
  </w:num>
  <w:num w:numId="61">
    <w:abstractNumId w:val="7"/>
  </w:num>
  <w:num w:numId="62">
    <w:abstractNumId w:val="84"/>
  </w:num>
  <w:num w:numId="63">
    <w:abstractNumId w:val="75"/>
  </w:num>
  <w:num w:numId="64">
    <w:abstractNumId w:val="112"/>
  </w:num>
  <w:num w:numId="65">
    <w:abstractNumId w:val="37"/>
  </w:num>
  <w:num w:numId="66">
    <w:abstractNumId w:val="71"/>
  </w:num>
  <w:num w:numId="67">
    <w:abstractNumId w:val="45"/>
  </w:num>
  <w:num w:numId="6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0"/>
  </w:num>
  <w:num w:numId="70">
    <w:abstractNumId w:val="41"/>
  </w:num>
  <w:num w:numId="71">
    <w:abstractNumId w:val="144"/>
  </w:num>
  <w:num w:numId="72">
    <w:abstractNumId w:val="117"/>
  </w:num>
  <w:num w:numId="73">
    <w:abstractNumId w:val="131"/>
  </w:num>
  <w:num w:numId="74">
    <w:abstractNumId w:val="101"/>
  </w:num>
  <w:num w:numId="75">
    <w:abstractNumId w:val="35"/>
  </w:num>
  <w:num w:numId="76">
    <w:abstractNumId w:val="44"/>
  </w:num>
  <w:num w:numId="77">
    <w:abstractNumId w:val="82"/>
  </w:num>
  <w:num w:numId="78">
    <w:abstractNumId w:val="1"/>
  </w:num>
  <w:num w:numId="79">
    <w:abstractNumId w:val="15"/>
  </w:num>
  <w:num w:numId="80">
    <w:abstractNumId w:val="134"/>
  </w:num>
  <w:num w:numId="81">
    <w:abstractNumId w:val="133"/>
  </w:num>
  <w:num w:numId="82">
    <w:abstractNumId w:val="40"/>
  </w:num>
  <w:num w:numId="83">
    <w:abstractNumId w:val="51"/>
  </w:num>
  <w:num w:numId="84">
    <w:abstractNumId w:val="2"/>
  </w:num>
  <w:num w:numId="85">
    <w:abstractNumId w:val="67"/>
  </w:num>
  <w:num w:numId="86">
    <w:abstractNumId w:val="60"/>
  </w:num>
  <w:num w:numId="87">
    <w:abstractNumId w:val="16"/>
  </w:num>
  <w:num w:numId="88">
    <w:abstractNumId w:val="64"/>
  </w:num>
  <w:num w:numId="89">
    <w:abstractNumId w:val="132"/>
  </w:num>
  <w:num w:numId="90">
    <w:abstractNumId w:val="77"/>
  </w:num>
  <w:num w:numId="91">
    <w:abstractNumId w:val="29"/>
  </w:num>
  <w:num w:numId="92">
    <w:abstractNumId w:val="96"/>
  </w:num>
  <w:num w:numId="93">
    <w:abstractNumId w:val="87"/>
  </w:num>
  <w:num w:numId="94">
    <w:abstractNumId w:val="53"/>
  </w:num>
  <w:num w:numId="95">
    <w:abstractNumId w:val="86"/>
  </w:num>
  <w:num w:numId="96">
    <w:abstractNumId w:val="79"/>
  </w:num>
  <w:num w:numId="97">
    <w:abstractNumId w:val="89"/>
  </w:num>
  <w:num w:numId="98">
    <w:abstractNumId w:val="46"/>
  </w:num>
  <w:num w:numId="99">
    <w:abstractNumId w:val="57"/>
  </w:num>
  <w:num w:numId="100">
    <w:abstractNumId w:val="105"/>
  </w:num>
  <w:num w:numId="101">
    <w:abstractNumId w:val="12"/>
  </w:num>
  <w:num w:numId="102">
    <w:abstractNumId w:val="54"/>
  </w:num>
  <w:num w:numId="103">
    <w:abstractNumId w:val="13"/>
  </w:num>
  <w:num w:numId="104">
    <w:abstractNumId w:val="97"/>
  </w:num>
  <w:num w:numId="105">
    <w:abstractNumId w:val="142"/>
  </w:num>
  <w:num w:numId="106">
    <w:abstractNumId w:val="141"/>
  </w:num>
  <w:num w:numId="107">
    <w:abstractNumId w:val="80"/>
  </w:num>
  <w:num w:numId="108">
    <w:abstractNumId w:val="126"/>
  </w:num>
  <w:num w:numId="109">
    <w:abstractNumId w:val="93"/>
  </w:num>
  <w:num w:numId="110">
    <w:abstractNumId w:val="122"/>
  </w:num>
  <w:num w:numId="111">
    <w:abstractNumId w:val="91"/>
  </w:num>
  <w:num w:numId="112">
    <w:abstractNumId w:val="36"/>
  </w:num>
  <w:num w:numId="113">
    <w:abstractNumId w:val="38"/>
  </w:num>
  <w:num w:numId="114">
    <w:abstractNumId w:val="32"/>
  </w:num>
  <w:num w:numId="115">
    <w:abstractNumId w:val="76"/>
  </w:num>
  <w:num w:numId="116">
    <w:abstractNumId w:val="73"/>
  </w:num>
  <w:num w:numId="117">
    <w:abstractNumId w:val="113"/>
  </w:num>
  <w:num w:numId="118">
    <w:abstractNumId w:val="70"/>
  </w:num>
  <w:num w:numId="119">
    <w:abstractNumId w:val="106"/>
  </w:num>
  <w:num w:numId="120">
    <w:abstractNumId w:val="11"/>
  </w:num>
  <w:num w:numId="121">
    <w:abstractNumId w:val="23"/>
  </w:num>
  <w:num w:numId="122">
    <w:abstractNumId w:val="114"/>
  </w:num>
  <w:num w:numId="123">
    <w:abstractNumId w:val="145"/>
  </w:num>
  <w:num w:numId="124">
    <w:abstractNumId w:val="123"/>
  </w:num>
  <w:num w:numId="125">
    <w:abstractNumId w:val="19"/>
  </w:num>
  <w:num w:numId="126">
    <w:abstractNumId w:val="21"/>
  </w:num>
  <w:num w:numId="127">
    <w:abstractNumId w:val="125"/>
  </w:num>
  <w:num w:numId="128">
    <w:abstractNumId w:val="110"/>
  </w:num>
  <w:num w:numId="129">
    <w:abstractNumId w:val="68"/>
  </w:num>
  <w:num w:numId="130">
    <w:abstractNumId w:val="99"/>
  </w:num>
  <w:num w:numId="131">
    <w:abstractNumId w:val="109"/>
  </w:num>
  <w:num w:numId="132">
    <w:abstractNumId w:val="59"/>
  </w:num>
  <w:num w:numId="133">
    <w:abstractNumId w:val="115"/>
  </w:num>
  <w:num w:numId="134">
    <w:abstractNumId w:val="102"/>
  </w:num>
  <w:num w:numId="135">
    <w:abstractNumId w:val="78"/>
  </w:num>
  <w:num w:numId="136">
    <w:abstractNumId w:val="137"/>
  </w:num>
  <w:num w:numId="137">
    <w:abstractNumId w:val="100"/>
  </w:num>
  <w:num w:numId="138">
    <w:abstractNumId w:val="52"/>
  </w:num>
  <w:num w:numId="139">
    <w:abstractNumId w:val="26"/>
  </w:num>
  <w:num w:numId="140">
    <w:abstractNumId w:val="42"/>
  </w:num>
  <w:num w:numId="141">
    <w:abstractNumId w:val="33"/>
  </w:num>
  <w:num w:numId="142">
    <w:abstractNumId w:val="107"/>
  </w:num>
  <w:num w:numId="143">
    <w:abstractNumId w:val="83"/>
  </w:num>
  <w:num w:numId="144">
    <w:abstractNumId w:val="47"/>
  </w:num>
  <w:num w:numId="145">
    <w:abstractNumId w:val="146"/>
  </w:num>
  <w:num w:numId="146">
    <w:abstractNumId w:val="5"/>
  </w:num>
  <w:num w:numId="147">
    <w:abstractNumId w:val="8"/>
  </w:num>
  <w:num w:numId="148">
    <w:abstractNumId w:val="121"/>
  </w:num>
  <w:num w:numId="149">
    <w:abstractNumId w:val="39"/>
  </w:num>
  <w:num w:numId="150">
    <w:abstractNumId w:val="88"/>
  </w:num>
  <w:num w:numId="151">
    <w:abstractNumId w:val="129"/>
  </w:num>
  <w:num w:numId="152">
    <w:abstractNumId w:val="147"/>
  </w:num>
  <w:num w:numId="153">
    <w:abstractNumId w:val="1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149"/>
  </w:num>
  <w:num w:numId="155">
    <w:abstractNumId w:val="150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uginao@headoffice.psbank.local">
    <w15:presenceInfo w15:providerId="Teamlab" w15:userId="muginao@headoffice.psbank.loc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049">
    <w:name w:val="Heading 8 Char"/>
    <w:basedOn w:val="1065"/>
    <w:link w:val="1063"/>
    <w:uiPriority w:val="9"/>
    <w:rPr>
      <w:rFonts w:ascii="Arial" w:hAnsi="Arial" w:eastAsia="Arial" w:cs="Arial"/>
      <w:i/>
      <w:iCs/>
      <w:sz w:val="22"/>
      <w:szCs w:val="22"/>
    </w:rPr>
  </w:style>
  <w:style w:type="character" w:styleId="1050">
    <w:name w:val="Heading 9 Char"/>
    <w:basedOn w:val="1065"/>
    <w:link w:val="1064"/>
    <w:uiPriority w:val="9"/>
    <w:rPr>
      <w:rFonts w:ascii="Arial" w:hAnsi="Arial" w:eastAsia="Arial" w:cs="Arial"/>
      <w:i/>
      <w:iCs/>
      <w:sz w:val="21"/>
      <w:szCs w:val="21"/>
    </w:rPr>
  </w:style>
  <w:style w:type="character" w:styleId="1051">
    <w:name w:val="Quote Char"/>
    <w:link w:val="1079"/>
    <w:uiPriority w:val="29"/>
    <w:rPr>
      <w:i/>
    </w:rPr>
  </w:style>
  <w:style w:type="character" w:styleId="1052">
    <w:name w:val="Intense Quote Char"/>
    <w:link w:val="1081"/>
    <w:uiPriority w:val="30"/>
    <w:rPr>
      <w:i/>
    </w:rPr>
  </w:style>
  <w:style w:type="character" w:styleId="1053">
    <w:name w:val="Footnote Text Char"/>
    <w:link w:val="1211"/>
    <w:uiPriority w:val="99"/>
    <w:rPr>
      <w:sz w:val="18"/>
    </w:rPr>
  </w:style>
  <w:style w:type="character" w:styleId="1054">
    <w:name w:val="Endnote Text Char"/>
    <w:link w:val="1214"/>
    <w:uiPriority w:val="99"/>
    <w:rPr>
      <w:sz w:val="20"/>
    </w:rPr>
  </w:style>
  <w:style w:type="paragraph" w:styleId="1055" w:default="1">
    <w:name w:val="Normal"/>
    <w:qFormat/>
  </w:style>
  <w:style w:type="paragraph" w:styleId="1056">
    <w:name w:val="Heading 1"/>
    <w:basedOn w:val="1055"/>
    <w:next w:val="1055"/>
    <w:link w:val="1228"/>
    <w:uiPriority w:val="9"/>
    <w:qFormat/>
    <w:pPr>
      <w:ind w:right="-284"/>
      <w:jc w:val="center"/>
      <w:keepNext/>
      <w:outlineLvl w:val="0"/>
    </w:pPr>
    <w:rPr>
      <w:rFonts w:ascii="Cambria" w:hAnsi="Cambria"/>
      <w:b/>
      <w:bCs/>
      <w:sz w:val="32"/>
      <w:szCs w:val="32"/>
    </w:rPr>
  </w:style>
  <w:style w:type="paragraph" w:styleId="1057">
    <w:name w:val="Heading 2"/>
    <w:basedOn w:val="1055"/>
    <w:next w:val="1055"/>
    <w:link w:val="1229"/>
    <w:uiPriority w:val="99"/>
    <w:qFormat/>
    <w:pPr>
      <w:jc w:val="center"/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1058">
    <w:name w:val="Heading 3"/>
    <w:basedOn w:val="1055"/>
    <w:next w:val="1055"/>
    <w:link w:val="1230"/>
    <w:uiPriority w:val="9"/>
    <w:qFormat/>
    <w:pPr>
      <w:ind w:left="-284" w:right="-284" w:firstLine="567"/>
      <w:jc w:val="center"/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1059">
    <w:name w:val="Heading 4"/>
    <w:basedOn w:val="1055"/>
    <w:next w:val="1055"/>
    <w:link w:val="1231"/>
    <w:uiPriority w:val="9"/>
    <w:qFormat/>
    <w:pPr>
      <w:ind w:right="-58" w:firstLine="567"/>
      <w:jc w:val="both"/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1060">
    <w:name w:val="Heading 5"/>
    <w:basedOn w:val="1055"/>
    <w:next w:val="1055"/>
    <w:link w:val="1232"/>
    <w:uiPriority w:val="9"/>
    <w:qFormat/>
    <w:pPr>
      <w:ind w:right="-58"/>
      <w:jc w:val="center"/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1061">
    <w:name w:val="Heading 6"/>
    <w:basedOn w:val="1055"/>
    <w:next w:val="1055"/>
    <w:link w:val="1233"/>
    <w:uiPriority w:val="9"/>
    <w:qFormat/>
    <w:pPr>
      <w:ind w:right="-58"/>
      <w:jc w:val="center"/>
      <w:keepNext/>
      <w:outlineLvl w:val="5"/>
    </w:pPr>
    <w:rPr>
      <w:rFonts w:ascii="Calibri" w:hAnsi="Calibri"/>
      <w:b/>
      <w:bCs/>
    </w:rPr>
  </w:style>
  <w:style w:type="paragraph" w:styleId="1062">
    <w:name w:val="Heading 7"/>
    <w:basedOn w:val="1055"/>
    <w:next w:val="1055"/>
    <w:link w:val="1234"/>
    <w:uiPriority w:val="9"/>
    <w:qFormat/>
    <w:pPr>
      <w:keepNext/>
      <w:outlineLvl w:val="6"/>
    </w:pPr>
    <w:rPr>
      <w:rFonts w:ascii="Calibri" w:hAnsi="Calibri"/>
      <w:sz w:val="24"/>
      <w:szCs w:val="24"/>
    </w:rPr>
  </w:style>
  <w:style w:type="paragraph" w:styleId="1063">
    <w:name w:val="Heading 8"/>
    <w:basedOn w:val="1055"/>
    <w:next w:val="1055"/>
    <w:link w:val="10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64">
    <w:name w:val="Heading 9"/>
    <w:basedOn w:val="1055"/>
    <w:next w:val="1055"/>
    <w:link w:val="10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65" w:default="1">
    <w:name w:val="Default Paragraph Font"/>
    <w:uiPriority w:val="1"/>
    <w:semiHidden/>
    <w:unhideWhenUsed/>
  </w:style>
  <w:style w:type="table" w:styleId="10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67" w:default="1">
    <w:name w:val="No List"/>
    <w:uiPriority w:val="99"/>
    <w:semiHidden/>
    <w:unhideWhenUsed/>
  </w:style>
  <w:style w:type="character" w:styleId="1068" w:customStyle="1">
    <w:name w:val="Heading 1 Char"/>
    <w:basedOn w:val="1065"/>
    <w:uiPriority w:val="9"/>
    <w:rPr>
      <w:rFonts w:ascii="Arial" w:hAnsi="Arial" w:eastAsia="Arial" w:cs="Arial"/>
      <w:sz w:val="40"/>
      <w:szCs w:val="40"/>
    </w:rPr>
  </w:style>
  <w:style w:type="character" w:styleId="1069" w:customStyle="1">
    <w:name w:val="Heading 2 Char"/>
    <w:basedOn w:val="1065"/>
    <w:uiPriority w:val="9"/>
    <w:rPr>
      <w:rFonts w:ascii="Arial" w:hAnsi="Arial" w:eastAsia="Arial" w:cs="Arial"/>
      <w:sz w:val="34"/>
    </w:rPr>
  </w:style>
  <w:style w:type="character" w:styleId="1070" w:customStyle="1">
    <w:name w:val="Heading 3 Char"/>
    <w:basedOn w:val="1065"/>
    <w:uiPriority w:val="9"/>
    <w:rPr>
      <w:rFonts w:ascii="Arial" w:hAnsi="Arial" w:eastAsia="Arial" w:cs="Arial"/>
      <w:sz w:val="30"/>
      <w:szCs w:val="30"/>
    </w:rPr>
  </w:style>
  <w:style w:type="character" w:styleId="1071" w:customStyle="1">
    <w:name w:val="Heading 4 Char"/>
    <w:basedOn w:val="1065"/>
    <w:uiPriority w:val="9"/>
    <w:rPr>
      <w:rFonts w:ascii="Arial" w:hAnsi="Arial" w:eastAsia="Arial" w:cs="Arial"/>
      <w:b/>
      <w:bCs/>
      <w:sz w:val="26"/>
      <w:szCs w:val="26"/>
    </w:rPr>
  </w:style>
  <w:style w:type="character" w:styleId="1072" w:customStyle="1">
    <w:name w:val="Heading 5 Char"/>
    <w:basedOn w:val="1065"/>
    <w:uiPriority w:val="9"/>
    <w:rPr>
      <w:rFonts w:ascii="Arial" w:hAnsi="Arial" w:eastAsia="Arial" w:cs="Arial"/>
      <w:b/>
      <w:bCs/>
      <w:sz w:val="24"/>
      <w:szCs w:val="24"/>
    </w:rPr>
  </w:style>
  <w:style w:type="character" w:styleId="1073" w:customStyle="1">
    <w:name w:val="Heading 6 Char"/>
    <w:basedOn w:val="1065"/>
    <w:uiPriority w:val="9"/>
    <w:rPr>
      <w:rFonts w:ascii="Arial" w:hAnsi="Arial" w:eastAsia="Arial" w:cs="Arial"/>
      <w:b/>
      <w:bCs/>
      <w:sz w:val="22"/>
      <w:szCs w:val="22"/>
    </w:rPr>
  </w:style>
  <w:style w:type="character" w:styleId="1074" w:customStyle="1">
    <w:name w:val="Heading 7 Char"/>
    <w:basedOn w:val="10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75" w:customStyle="1">
    <w:name w:val="Заголовок 8 Знак"/>
    <w:basedOn w:val="1065"/>
    <w:link w:val="1063"/>
    <w:uiPriority w:val="9"/>
    <w:rPr>
      <w:rFonts w:ascii="Arial" w:hAnsi="Arial" w:eastAsia="Arial" w:cs="Arial"/>
      <w:i/>
      <w:iCs/>
      <w:sz w:val="22"/>
      <w:szCs w:val="22"/>
    </w:rPr>
  </w:style>
  <w:style w:type="character" w:styleId="1076" w:customStyle="1">
    <w:name w:val="Заголовок 9 Знак"/>
    <w:basedOn w:val="1065"/>
    <w:link w:val="1064"/>
    <w:uiPriority w:val="9"/>
    <w:rPr>
      <w:rFonts w:ascii="Arial" w:hAnsi="Arial" w:eastAsia="Arial" w:cs="Arial"/>
      <w:i/>
      <w:iCs/>
      <w:sz w:val="21"/>
      <w:szCs w:val="21"/>
    </w:rPr>
  </w:style>
  <w:style w:type="character" w:styleId="1077" w:customStyle="1">
    <w:name w:val="Title Char"/>
    <w:basedOn w:val="1065"/>
    <w:uiPriority w:val="10"/>
    <w:rPr>
      <w:sz w:val="48"/>
      <w:szCs w:val="48"/>
    </w:rPr>
  </w:style>
  <w:style w:type="character" w:styleId="1078" w:customStyle="1">
    <w:name w:val="Subtitle Char"/>
    <w:basedOn w:val="1065"/>
    <w:uiPriority w:val="11"/>
    <w:rPr>
      <w:sz w:val="24"/>
      <w:szCs w:val="24"/>
    </w:rPr>
  </w:style>
  <w:style w:type="paragraph" w:styleId="1079">
    <w:name w:val="Quote"/>
    <w:basedOn w:val="1055"/>
    <w:next w:val="1055"/>
    <w:link w:val="1080"/>
    <w:uiPriority w:val="29"/>
    <w:qFormat/>
    <w:pPr>
      <w:ind w:left="720" w:right="720"/>
    </w:pPr>
    <w:rPr>
      <w:i/>
    </w:rPr>
  </w:style>
  <w:style w:type="character" w:styleId="1080" w:customStyle="1">
    <w:name w:val="Цитата 2 Знак"/>
    <w:link w:val="1079"/>
    <w:uiPriority w:val="29"/>
    <w:rPr>
      <w:i/>
    </w:rPr>
  </w:style>
  <w:style w:type="paragraph" w:styleId="1081">
    <w:name w:val="Intense Quote"/>
    <w:basedOn w:val="1055"/>
    <w:next w:val="1055"/>
    <w:link w:val="108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82" w:customStyle="1">
    <w:name w:val="Выделенная цитата Знак"/>
    <w:link w:val="1081"/>
    <w:uiPriority w:val="30"/>
    <w:rPr>
      <w:i/>
    </w:rPr>
  </w:style>
  <w:style w:type="character" w:styleId="1083" w:customStyle="1">
    <w:name w:val="Header Char"/>
    <w:basedOn w:val="1065"/>
    <w:uiPriority w:val="99"/>
  </w:style>
  <w:style w:type="character" w:styleId="1084" w:customStyle="1">
    <w:name w:val="Footer Char"/>
    <w:basedOn w:val="1065"/>
    <w:uiPriority w:val="99"/>
  </w:style>
  <w:style w:type="character" w:styleId="1085" w:customStyle="1">
    <w:name w:val="Caption Char"/>
    <w:uiPriority w:val="99"/>
  </w:style>
  <w:style w:type="table" w:styleId="1086" w:customStyle="1">
    <w:name w:val="Table Grid Light"/>
    <w:basedOn w:val="10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87">
    <w:name w:val="Plain Table 1"/>
    <w:basedOn w:val="10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88">
    <w:name w:val="Plain Table 2"/>
    <w:basedOn w:val="106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89">
    <w:name w:val="Plain Table 3"/>
    <w:basedOn w:val="10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90">
    <w:name w:val="Plain Table 4"/>
    <w:basedOn w:val="10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1">
    <w:name w:val="Plain Table 5"/>
    <w:basedOn w:val="106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92">
    <w:name w:val="Grid Table 1 Light"/>
    <w:basedOn w:val="106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3" w:customStyle="1">
    <w:name w:val="Grid Table 1 Light - Accent 1"/>
    <w:basedOn w:val="106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4" w:customStyle="1">
    <w:name w:val="Grid Table 1 Light - Accent 2"/>
    <w:basedOn w:val="106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5" w:customStyle="1">
    <w:name w:val="Grid Table 1 Light - Accent 3"/>
    <w:basedOn w:val="106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6" w:customStyle="1">
    <w:name w:val="Grid Table 1 Light - Accent 4"/>
    <w:basedOn w:val="106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7" w:customStyle="1">
    <w:name w:val="Grid Table 1 Light - Accent 5"/>
    <w:basedOn w:val="106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8" w:customStyle="1">
    <w:name w:val="Grid Table 1 Light - Accent 6"/>
    <w:basedOn w:val="106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9">
    <w:name w:val="Grid Table 2"/>
    <w:basedOn w:val="10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0" w:customStyle="1">
    <w:name w:val="Grid Table 2 - Accent 1"/>
    <w:basedOn w:val="106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1" w:customStyle="1">
    <w:name w:val="Grid Table 2 - Accent 2"/>
    <w:basedOn w:val="106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2" w:customStyle="1">
    <w:name w:val="Grid Table 2 - Accent 3"/>
    <w:basedOn w:val="106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3" w:customStyle="1">
    <w:name w:val="Grid Table 2 - Accent 4"/>
    <w:basedOn w:val="106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4" w:customStyle="1">
    <w:name w:val="Grid Table 2 - Accent 5"/>
    <w:basedOn w:val="106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5" w:customStyle="1">
    <w:name w:val="Grid Table 2 - Accent 6"/>
    <w:basedOn w:val="106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6">
    <w:name w:val="Grid Table 3"/>
    <w:basedOn w:val="10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 w:customStyle="1">
    <w:name w:val="Grid Table 3 - Accent 1"/>
    <w:basedOn w:val="106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8" w:customStyle="1">
    <w:name w:val="Grid Table 3 - Accent 2"/>
    <w:basedOn w:val="106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 w:customStyle="1">
    <w:name w:val="Grid Table 3 - Accent 3"/>
    <w:basedOn w:val="106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0" w:customStyle="1">
    <w:name w:val="Grid Table 3 - Accent 4"/>
    <w:basedOn w:val="106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1" w:customStyle="1">
    <w:name w:val="Grid Table 3 - Accent 5"/>
    <w:basedOn w:val="106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2" w:customStyle="1">
    <w:name w:val="Grid Table 3 - Accent 6"/>
    <w:basedOn w:val="106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>
    <w:name w:val="Grid Table 4"/>
    <w:basedOn w:val="106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14" w:customStyle="1">
    <w:name w:val="Grid Table 4 - Accent 1"/>
    <w:basedOn w:val="106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115" w:customStyle="1">
    <w:name w:val="Grid Table 4 - Accent 2"/>
    <w:basedOn w:val="106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116" w:customStyle="1">
    <w:name w:val="Grid Table 4 - Accent 3"/>
    <w:basedOn w:val="106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117" w:customStyle="1">
    <w:name w:val="Grid Table 4 - Accent 4"/>
    <w:basedOn w:val="106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118" w:customStyle="1">
    <w:name w:val="Grid Table 4 - Accent 5"/>
    <w:basedOn w:val="106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119" w:customStyle="1">
    <w:name w:val="Grid Table 4 - Accent 6"/>
    <w:basedOn w:val="106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120">
    <w:name w:val="Grid Table 5 Dark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121" w:customStyle="1">
    <w:name w:val="Grid Table 5 Dark- Accent 1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122" w:customStyle="1">
    <w:name w:val="Grid Table 5 Dark - Accent 2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123" w:customStyle="1">
    <w:name w:val="Grid Table 5 Dark - Accent 3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124" w:customStyle="1">
    <w:name w:val="Grid Table 5 Dark- Accent 4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125" w:customStyle="1">
    <w:name w:val="Grid Table 5 Dark - Accent 5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126" w:customStyle="1">
    <w:name w:val="Grid Table 5 Dark - Accent 6"/>
    <w:basedOn w:val="10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127">
    <w:name w:val="Grid Table 6 Colorful"/>
    <w:basedOn w:val="106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28" w:customStyle="1">
    <w:name w:val="Grid Table 6 Colorful - Accent 1"/>
    <w:basedOn w:val="106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129" w:customStyle="1">
    <w:name w:val="Grid Table 6 Colorful - Accent 2"/>
    <w:basedOn w:val="106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130" w:customStyle="1">
    <w:name w:val="Grid Table 6 Colorful - Accent 3"/>
    <w:basedOn w:val="106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131" w:customStyle="1">
    <w:name w:val="Grid Table 6 Colorful - Accent 4"/>
    <w:basedOn w:val="106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132" w:customStyle="1">
    <w:name w:val="Grid Table 6 Colorful - Accent 5"/>
    <w:basedOn w:val="106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133" w:customStyle="1">
    <w:name w:val="Grid Table 6 Colorful - Accent 6"/>
    <w:basedOn w:val="106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134">
    <w:name w:val="Grid Table 7 Colorful"/>
    <w:basedOn w:val="106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5" w:customStyle="1">
    <w:name w:val="Grid Table 7 Colorful - Accent 1"/>
    <w:basedOn w:val="106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6" w:customStyle="1">
    <w:name w:val="Grid Table 7 Colorful - Accent 2"/>
    <w:basedOn w:val="106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7" w:customStyle="1">
    <w:name w:val="Grid Table 7 Colorful - Accent 3"/>
    <w:basedOn w:val="106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8" w:customStyle="1">
    <w:name w:val="Grid Table 7 Colorful - Accent 4"/>
    <w:basedOn w:val="106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9" w:customStyle="1">
    <w:name w:val="Grid Table 7 Colorful - Accent 5"/>
    <w:basedOn w:val="106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0" w:customStyle="1">
    <w:name w:val="Grid Table 7 Colorful - Accent 6"/>
    <w:basedOn w:val="106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1">
    <w:name w:val="List Table 1 Light"/>
    <w:basedOn w:val="106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2" w:customStyle="1">
    <w:name w:val="List Table 1 Light - Accent 1"/>
    <w:basedOn w:val="106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3" w:customStyle="1">
    <w:name w:val="List Table 1 Light - Accent 2"/>
    <w:basedOn w:val="106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4" w:customStyle="1">
    <w:name w:val="List Table 1 Light - Accent 3"/>
    <w:basedOn w:val="106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5" w:customStyle="1">
    <w:name w:val="List Table 1 Light - Accent 4"/>
    <w:basedOn w:val="106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6" w:customStyle="1">
    <w:name w:val="List Table 1 Light - Accent 5"/>
    <w:basedOn w:val="106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7" w:customStyle="1">
    <w:name w:val="List Table 1 Light - Accent 6"/>
    <w:basedOn w:val="106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48">
    <w:name w:val="List Table 2"/>
    <w:basedOn w:val="106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49" w:customStyle="1">
    <w:name w:val="List Table 2 - Accent 1"/>
    <w:basedOn w:val="106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150" w:customStyle="1">
    <w:name w:val="List Table 2 - Accent 2"/>
    <w:basedOn w:val="106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151" w:customStyle="1">
    <w:name w:val="List Table 2 - Accent 3"/>
    <w:basedOn w:val="106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152" w:customStyle="1">
    <w:name w:val="List Table 2 - Accent 4"/>
    <w:basedOn w:val="106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153" w:customStyle="1">
    <w:name w:val="List Table 2 - Accent 5"/>
    <w:basedOn w:val="106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154" w:customStyle="1">
    <w:name w:val="List Table 2 - Accent 6"/>
    <w:basedOn w:val="106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155">
    <w:name w:val="List Table 3"/>
    <w:basedOn w:val="10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6" w:customStyle="1">
    <w:name w:val="List Table 3 - Accent 1"/>
    <w:basedOn w:val="106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7" w:customStyle="1">
    <w:name w:val="List Table 3 - Accent 2"/>
    <w:basedOn w:val="106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8" w:customStyle="1">
    <w:name w:val="List Table 3 - Accent 3"/>
    <w:basedOn w:val="106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9" w:customStyle="1">
    <w:name w:val="List Table 3 - Accent 4"/>
    <w:basedOn w:val="106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0" w:customStyle="1">
    <w:name w:val="List Table 3 - Accent 5"/>
    <w:basedOn w:val="106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1" w:customStyle="1">
    <w:name w:val="List Table 3 - Accent 6"/>
    <w:basedOn w:val="106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2">
    <w:name w:val="List Table 4"/>
    <w:basedOn w:val="10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3" w:customStyle="1">
    <w:name w:val="List Table 4 - Accent 1"/>
    <w:basedOn w:val="106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4" w:customStyle="1">
    <w:name w:val="List Table 4 - Accent 2"/>
    <w:basedOn w:val="106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5" w:customStyle="1">
    <w:name w:val="List Table 4 - Accent 3"/>
    <w:basedOn w:val="106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6" w:customStyle="1">
    <w:name w:val="List Table 4 - Accent 4"/>
    <w:basedOn w:val="106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7" w:customStyle="1">
    <w:name w:val="List Table 4 - Accent 5"/>
    <w:basedOn w:val="106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8" w:customStyle="1">
    <w:name w:val="List Table 4 - Accent 6"/>
    <w:basedOn w:val="106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9">
    <w:name w:val="List Table 5 Dark"/>
    <w:basedOn w:val="106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0" w:customStyle="1">
    <w:name w:val="List Table 5 Dark - Accent 1"/>
    <w:basedOn w:val="106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1" w:customStyle="1">
    <w:name w:val="List Table 5 Dark - Accent 2"/>
    <w:basedOn w:val="106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2" w:customStyle="1">
    <w:name w:val="List Table 5 Dark - Accent 3"/>
    <w:basedOn w:val="106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3" w:customStyle="1">
    <w:name w:val="List Table 5 Dark - Accent 4"/>
    <w:basedOn w:val="106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4" w:customStyle="1">
    <w:name w:val="List Table 5 Dark - Accent 5"/>
    <w:basedOn w:val="106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5" w:customStyle="1">
    <w:name w:val="List Table 5 Dark - Accent 6"/>
    <w:basedOn w:val="106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76">
    <w:name w:val="List Table 6 Colorful"/>
    <w:basedOn w:val="106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77" w:customStyle="1">
    <w:name w:val="List Table 6 Colorful - Accent 1"/>
    <w:basedOn w:val="106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178" w:customStyle="1">
    <w:name w:val="List Table 6 Colorful - Accent 2"/>
    <w:basedOn w:val="106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179" w:customStyle="1">
    <w:name w:val="List Table 6 Colorful - Accent 3"/>
    <w:basedOn w:val="106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180" w:customStyle="1">
    <w:name w:val="List Table 6 Colorful - Accent 4"/>
    <w:basedOn w:val="106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181" w:customStyle="1">
    <w:name w:val="List Table 6 Colorful - Accent 5"/>
    <w:basedOn w:val="106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182" w:customStyle="1">
    <w:name w:val="List Table 6 Colorful - Accent 6"/>
    <w:basedOn w:val="106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183">
    <w:name w:val="List Table 7 Colorful"/>
    <w:basedOn w:val="106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 w:customStyle="1">
    <w:name w:val="List Table 7 Colorful - Accent 1"/>
    <w:basedOn w:val="106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 w:customStyle="1">
    <w:name w:val="List Table 7 Colorful - Accent 2"/>
    <w:basedOn w:val="106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 w:customStyle="1">
    <w:name w:val="List Table 7 Colorful - Accent 3"/>
    <w:basedOn w:val="106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 w:customStyle="1">
    <w:name w:val="List Table 7 Colorful - Accent 4"/>
    <w:basedOn w:val="106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 w:customStyle="1">
    <w:name w:val="List Table 7 Colorful - Accent 5"/>
    <w:basedOn w:val="106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 w:customStyle="1">
    <w:name w:val="List Table 7 Colorful - Accent 6"/>
    <w:basedOn w:val="106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 w:customStyle="1">
    <w:name w:val="Lined - Accent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91" w:customStyle="1">
    <w:name w:val="Lined - Accent 1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92" w:customStyle="1">
    <w:name w:val="Lined - Accent 2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93" w:customStyle="1">
    <w:name w:val="Lined - Accent 3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94" w:customStyle="1">
    <w:name w:val="Lined - Accent 4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95" w:customStyle="1">
    <w:name w:val="Lined - Accent 5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96" w:customStyle="1">
    <w:name w:val="Lined - Accent 6"/>
    <w:basedOn w:val="106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97" w:customStyle="1">
    <w:name w:val="Bordered &amp; Lined - Accent"/>
    <w:basedOn w:val="106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98" w:customStyle="1">
    <w:name w:val="Bordered &amp; Lined - Accent 1"/>
    <w:basedOn w:val="1066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99" w:customStyle="1">
    <w:name w:val="Bordered &amp; Lined - Accent 2"/>
    <w:basedOn w:val="1066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200" w:customStyle="1">
    <w:name w:val="Bordered &amp; Lined - Accent 3"/>
    <w:basedOn w:val="1066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201" w:customStyle="1">
    <w:name w:val="Bordered &amp; Lined - Accent 4"/>
    <w:basedOn w:val="1066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202" w:customStyle="1">
    <w:name w:val="Bordered &amp; Lined - Accent 5"/>
    <w:basedOn w:val="1066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203" w:customStyle="1">
    <w:name w:val="Bordered &amp; Lined - Accent 6"/>
    <w:basedOn w:val="1066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204" w:customStyle="1">
    <w:name w:val="Bordered"/>
    <w:basedOn w:val="106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205" w:customStyle="1">
    <w:name w:val="Bordered - Accent 1"/>
    <w:basedOn w:val="106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206" w:customStyle="1">
    <w:name w:val="Bordered - Accent 2"/>
    <w:basedOn w:val="106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207" w:customStyle="1">
    <w:name w:val="Bordered - Accent 3"/>
    <w:basedOn w:val="106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208" w:customStyle="1">
    <w:name w:val="Bordered - Accent 4"/>
    <w:basedOn w:val="106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209" w:customStyle="1">
    <w:name w:val="Bordered - Accent 5"/>
    <w:basedOn w:val="106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210" w:customStyle="1">
    <w:name w:val="Bordered - Accent 6"/>
    <w:basedOn w:val="106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211">
    <w:name w:val="footnote text"/>
    <w:basedOn w:val="1055"/>
    <w:link w:val="1212"/>
    <w:uiPriority w:val="99"/>
    <w:semiHidden/>
    <w:unhideWhenUsed/>
    <w:pPr>
      <w:spacing w:after="40"/>
    </w:pPr>
    <w:rPr>
      <w:sz w:val="18"/>
    </w:rPr>
  </w:style>
  <w:style w:type="character" w:styleId="1212" w:customStyle="1">
    <w:name w:val="Текст сноски Знак"/>
    <w:link w:val="1211"/>
    <w:uiPriority w:val="99"/>
    <w:rPr>
      <w:sz w:val="18"/>
    </w:rPr>
  </w:style>
  <w:style w:type="character" w:styleId="1213">
    <w:name w:val="footnote reference"/>
    <w:basedOn w:val="1065"/>
    <w:uiPriority w:val="99"/>
    <w:unhideWhenUsed/>
    <w:rPr>
      <w:vertAlign w:val="superscript"/>
    </w:rPr>
  </w:style>
  <w:style w:type="paragraph" w:styleId="1214">
    <w:name w:val="endnote text"/>
    <w:basedOn w:val="1055"/>
    <w:link w:val="1215"/>
    <w:uiPriority w:val="99"/>
    <w:semiHidden/>
    <w:unhideWhenUsed/>
  </w:style>
  <w:style w:type="character" w:styleId="1215" w:customStyle="1">
    <w:name w:val="Текст концевой сноски Знак"/>
    <w:link w:val="1214"/>
    <w:uiPriority w:val="99"/>
    <w:rPr>
      <w:sz w:val="20"/>
    </w:rPr>
  </w:style>
  <w:style w:type="character" w:styleId="1216">
    <w:name w:val="endnote reference"/>
    <w:basedOn w:val="1065"/>
    <w:uiPriority w:val="99"/>
    <w:semiHidden/>
    <w:unhideWhenUsed/>
    <w:rPr>
      <w:vertAlign w:val="superscript"/>
    </w:rPr>
  </w:style>
  <w:style w:type="paragraph" w:styleId="1217">
    <w:name w:val="toc 1"/>
    <w:basedOn w:val="1055"/>
    <w:next w:val="1055"/>
    <w:uiPriority w:val="39"/>
    <w:unhideWhenUsed/>
    <w:pPr>
      <w:spacing w:after="57"/>
    </w:pPr>
  </w:style>
  <w:style w:type="paragraph" w:styleId="1218">
    <w:name w:val="toc 2"/>
    <w:basedOn w:val="1055"/>
    <w:next w:val="1055"/>
    <w:uiPriority w:val="39"/>
    <w:unhideWhenUsed/>
    <w:pPr>
      <w:ind w:left="283"/>
      <w:spacing w:after="57"/>
    </w:pPr>
  </w:style>
  <w:style w:type="paragraph" w:styleId="1219">
    <w:name w:val="toc 3"/>
    <w:basedOn w:val="1055"/>
    <w:next w:val="1055"/>
    <w:uiPriority w:val="39"/>
    <w:unhideWhenUsed/>
    <w:pPr>
      <w:ind w:left="567"/>
      <w:spacing w:after="57"/>
    </w:pPr>
  </w:style>
  <w:style w:type="paragraph" w:styleId="1220">
    <w:name w:val="toc 4"/>
    <w:basedOn w:val="1055"/>
    <w:next w:val="1055"/>
    <w:uiPriority w:val="39"/>
    <w:unhideWhenUsed/>
    <w:pPr>
      <w:ind w:left="850"/>
      <w:spacing w:after="57"/>
    </w:pPr>
  </w:style>
  <w:style w:type="paragraph" w:styleId="1221">
    <w:name w:val="toc 5"/>
    <w:basedOn w:val="1055"/>
    <w:next w:val="1055"/>
    <w:uiPriority w:val="39"/>
    <w:unhideWhenUsed/>
    <w:pPr>
      <w:ind w:left="1134"/>
      <w:spacing w:after="57"/>
    </w:pPr>
  </w:style>
  <w:style w:type="paragraph" w:styleId="1222">
    <w:name w:val="toc 6"/>
    <w:basedOn w:val="1055"/>
    <w:next w:val="1055"/>
    <w:uiPriority w:val="39"/>
    <w:unhideWhenUsed/>
    <w:pPr>
      <w:ind w:left="1417"/>
      <w:spacing w:after="57"/>
    </w:pPr>
  </w:style>
  <w:style w:type="paragraph" w:styleId="1223">
    <w:name w:val="toc 7"/>
    <w:basedOn w:val="1055"/>
    <w:next w:val="1055"/>
    <w:uiPriority w:val="39"/>
    <w:unhideWhenUsed/>
    <w:pPr>
      <w:ind w:left="1701"/>
      <w:spacing w:after="57"/>
    </w:pPr>
  </w:style>
  <w:style w:type="paragraph" w:styleId="1224">
    <w:name w:val="toc 8"/>
    <w:basedOn w:val="1055"/>
    <w:next w:val="1055"/>
    <w:uiPriority w:val="39"/>
    <w:unhideWhenUsed/>
    <w:pPr>
      <w:ind w:left="1984"/>
      <w:spacing w:after="57"/>
    </w:pPr>
  </w:style>
  <w:style w:type="paragraph" w:styleId="1225">
    <w:name w:val="toc 9"/>
    <w:basedOn w:val="1055"/>
    <w:next w:val="1055"/>
    <w:uiPriority w:val="39"/>
    <w:unhideWhenUsed/>
    <w:pPr>
      <w:ind w:left="2268"/>
      <w:spacing w:after="57"/>
    </w:pPr>
  </w:style>
  <w:style w:type="paragraph" w:styleId="1226">
    <w:name w:val="TOC Heading"/>
    <w:uiPriority w:val="39"/>
    <w:unhideWhenUsed/>
  </w:style>
  <w:style w:type="paragraph" w:styleId="1227">
    <w:name w:val="table of figures"/>
    <w:basedOn w:val="1055"/>
    <w:next w:val="1055"/>
    <w:uiPriority w:val="99"/>
    <w:unhideWhenUsed/>
  </w:style>
  <w:style w:type="character" w:styleId="1228" w:customStyle="1">
    <w:name w:val="Заголовок 1 Знак"/>
    <w:basedOn w:val="1065"/>
    <w:link w:val="1056"/>
    <w:uiPriority w:val="9"/>
    <w:rPr>
      <w:rFonts w:ascii="Cambria" w:hAnsi="Cambria" w:cs="Times New Roman"/>
      <w:b/>
      <w:sz w:val="32"/>
    </w:rPr>
  </w:style>
  <w:style w:type="character" w:styleId="1229" w:customStyle="1">
    <w:name w:val="Заголовок 2 Знак"/>
    <w:basedOn w:val="1065"/>
    <w:link w:val="1057"/>
    <w:uiPriority w:val="99"/>
    <w:rPr>
      <w:rFonts w:ascii="Cambria" w:hAnsi="Cambria" w:cs="Times New Roman"/>
      <w:b/>
      <w:i/>
      <w:sz w:val="28"/>
    </w:rPr>
  </w:style>
  <w:style w:type="character" w:styleId="1230" w:customStyle="1">
    <w:name w:val="Заголовок 3 Знак"/>
    <w:basedOn w:val="1065"/>
    <w:link w:val="1058"/>
    <w:uiPriority w:val="9"/>
    <w:semiHidden/>
    <w:rPr>
      <w:rFonts w:ascii="Cambria" w:hAnsi="Cambria" w:cs="Times New Roman"/>
      <w:b/>
      <w:sz w:val="26"/>
    </w:rPr>
  </w:style>
  <w:style w:type="character" w:styleId="1231" w:customStyle="1">
    <w:name w:val="Заголовок 4 Знак"/>
    <w:basedOn w:val="1065"/>
    <w:link w:val="1059"/>
    <w:uiPriority w:val="9"/>
    <w:semiHidden/>
    <w:rPr>
      <w:rFonts w:ascii="Calibri" w:hAnsi="Calibri" w:cs="Times New Roman"/>
      <w:b/>
      <w:sz w:val="28"/>
    </w:rPr>
  </w:style>
  <w:style w:type="character" w:styleId="1232" w:customStyle="1">
    <w:name w:val="Заголовок 5 Знак"/>
    <w:basedOn w:val="1065"/>
    <w:link w:val="1060"/>
    <w:uiPriority w:val="9"/>
    <w:semiHidden/>
    <w:rPr>
      <w:rFonts w:ascii="Calibri" w:hAnsi="Calibri" w:cs="Times New Roman"/>
      <w:b/>
      <w:i/>
      <w:sz w:val="26"/>
    </w:rPr>
  </w:style>
  <w:style w:type="character" w:styleId="1233" w:customStyle="1">
    <w:name w:val="Заголовок 6 Знак"/>
    <w:basedOn w:val="1065"/>
    <w:link w:val="1061"/>
    <w:uiPriority w:val="9"/>
    <w:semiHidden/>
    <w:rPr>
      <w:rFonts w:ascii="Calibri" w:hAnsi="Calibri" w:cs="Times New Roman"/>
      <w:b/>
    </w:rPr>
  </w:style>
  <w:style w:type="character" w:styleId="1234" w:customStyle="1">
    <w:name w:val="Заголовок 7 Знак"/>
    <w:basedOn w:val="1065"/>
    <w:link w:val="1062"/>
    <w:uiPriority w:val="9"/>
    <w:semiHidden/>
    <w:rPr>
      <w:rFonts w:ascii="Calibri" w:hAnsi="Calibri" w:cs="Times New Roman"/>
      <w:sz w:val="24"/>
    </w:rPr>
  </w:style>
  <w:style w:type="paragraph" w:styleId="1235">
    <w:name w:val="Header"/>
    <w:basedOn w:val="1055"/>
    <w:link w:val="1236"/>
    <w:uiPriority w:val="99"/>
    <w:pPr>
      <w:tabs>
        <w:tab w:val="center" w:pos="4153" w:leader="none"/>
        <w:tab w:val="right" w:pos="8306" w:leader="none"/>
      </w:tabs>
    </w:pPr>
  </w:style>
  <w:style w:type="character" w:styleId="1236" w:customStyle="1">
    <w:name w:val="Верхний колонтитул Знак"/>
    <w:basedOn w:val="1065"/>
    <w:link w:val="1235"/>
    <w:uiPriority w:val="99"/>
    <w:rPr>
      <w:rFonts w:cs="Times New Roman"/>
      <w:sz w:val="20"/>
    </w:rPr>
  </w:style>
  <w:style w:type="character" w:styleId="1237">
    <w:name w:val="page number"/>
    <w:basedOn w:val="1065"/>
    <w:uiPriority w:val="99"/>
    <w:rPr>
      <w:rFonts w:cs="Times New Roman"/>
    </w:rPr>
  </w:style>
  <w:style w:type="paragraph" w:styleId="1238">
    <w:name w:val="Block Text"/>
    <w:basedOn w:val="1055"/>
    <w:uiPriority w:val="99"/>
    <w:pPr>
      <w:ind w:left="-284" w:right="-284" w:firstLine="567"/>
      <w:jc w:val="both"/>
    </w:pPr>
    <w:rPr>
      <w:sz w:val="22"/>
      <w:szCs w:val="22"/>
    </w:rPr>
  </w:style>
  <w:style w:type="paragraph" w:styleId="1239">
    <w:name w:val="Body Text 3"/>
    <w:basedOn w:val="1055"/>
    <w:link w:val="1240"/>
    <w:uiPriority w:val="99"/>
    <w:pPr>
      <w:ind w:right="-1"/>
      <w:jc w:val="both"/>
    </w:pPr>
    <w:rPr>
      <w:sz w:val="16"/>
      <w:szCs w:val="16"/>
    </w:rPr>
  </w:style>
  <w:style w:type="character" w:styleId="1240" w:customStyle="1">
    <w:name w:val="Основной текст 3 Знак"/>
    <w:basedOn w:val="1065"/>
    <w:link w:val="1239"/>
    <w:uiPriority w:val="99"/>
    <w:semiHidden/>
    <w:rPr>
      <w:rFonts w:cs="Times New Roman"/>
      <w:sz w:val="16"/>
    </w:rPr>
  </w:style>
  <w:style w:type="paragraph" w:styleId="1241">
    <w:name w:val="Body Text"/>
    <w:basedOn w:val="1055"/>
    <w:link w:val="1242"/>
    <w:uiPriority w:val="99"/>
    <w:pPr>
      <w:ind w:right="-284"/>
      <w:jc w:val="both"/>
    </w:pPr>
  </w:style>
  <w:style w:type="character" w:styleId="1242" w:customStyle="1">
    <w:name w:val="Основной текст Знак"/>
    <w:basedOn w:val="1065"/>
    <w:link w:val="1241"/>
    <w:uiPriority w:val="99"/>
    <w:rPr>
      <w:rFonts w:cs="Times New Roman"/>
      <w:sz w:val="20"/>
    </w:rPr>
  </w:style>
  <w:style w:type="paragraph" w:styleId="1243">
    <w:name w:val="Body Text Indent"/>
    <w:basedOn w:val="1055"/>
    <w:link w:val="1244"/>
    <w:uiPriority w:val="99"/>
    <w:pPr>
      <w:jc w:val="both"/>
    </w:pPr>
  </w:style>
  <w:style w:type="character" w:styleId="1244" w:customStyle="1">
    <w:name w:val="Основной текст с отступом Знак"/>
    <w:basedOn w:val="1065"/>
    <w:link w:val="1243"/>
    <w:uiPriority w:val="99"/>
    <w:semiHidden/>
    <w:rPr>
      <w:rFonts w:cs="Times New Roman"/>
      <w:sz w:val="20"/>
    </w:rPr>
  </w:style>
  <w:style w:type="paragraph" w:styleId="1245">
    <w:name w:val="Body Text Indent 2"/>
    <w:basedOn w:val="1055"/>
    <w:link w:val="1246"/>
    <w:uiPriority w:val="99"/>
    <w:pPr>
      <w:ind w:right="-58" w:firstLine="567"/>
      <w:jc w:val="both"/>
    </w:pPr>
  </w:style>
  <w:style w:type="character" w:styleId="1246" w:customStyle="1">
    <w:name w:val="Основной текст с отступом 2 Знак"/>
    <w:basedOn w:val="1065"/>
    <w:link w:val="1245"/>
    <w:uiPriority w:val="99"/>
    <w:semiHidden/>
    <w:rPr>
      <w:rFonts w:cs="Times New Roman"/>
      <w:sz w:val="20"/>
    </w:rPr>
  </w:style>
  <w:style w:type="paragraph" w:styleId="1247">
    <w:name w:val="Title"/>
    <w:basedOn w:val="1055"/>
    <w:link w:val="1248"/>
    <w:uiPriority w:val="99"/>
    <w:qFormat/>
    <w:pPr>
      <w:jc w:val="center"/>
    </w:pPr>
    <w:rPr>
      <w:rFonts w:ascii="Cambria" w:hAnsi="Cambria"/>
      <w:b/>
      <w:bCs/>
      <w:sz w:val="32"/>
      <w:szCs w:val="32"/>
    </w:rPr>
  </w:style>
  <w:style w:type="character" w:styleId="1248" w:customStyle="1">
    <w:name w:val="Заголовок Знак"/>
    <w:basedOn w:val="1065"/>
    <w:link w:val="1247"/>
    <w:uiPriority w:val="99"/>
    <w:rPr>
      <w:rFonts w:ascii="Cambria" w:hAnsi="Cambria" w:cs="Times New Roman"/>
      <w:b/>
      <w:sz w:val="32"/>
    </w:rPr>
  </w:style>
  <w:style w:type="paragraph" w:styleId="1249" w:customStyle="1">
    <w:name w:val="Normal1"/>
    <w:pPr>
      <w:ind w:firstLine="720"/>
      <w:spacing w:line="300" w:lineRule="auto"/>
      <w:widowControl w:val="off"/>
    </w:pPr>
    <w:rPr>
      <w:sz w:val="22"/>
      <w:szCs w:val="22"/>
    </w:rPr>
  </w:style>
  <w:style w:type="paragraph" w:styleId="1250">
    <w:name w:val="Caption"/>
    <w:basedOn w:val="1055"/>
    <w:link w:val="1085"/>
    <w:uiPriority w:val="35"/>
    <w:qFormat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1251">
    <w:name w:val="Subtitle"/>
    <w:basedOn w:val="1055"/>
    <w:link w:val="1252"/>
    <w:uiPriority w:val="11"/>
    <w:qFormat/>
    <w:pPr>
      <w:jc w:val="center"/>
    </w:pPr>
    <w:rPr>
      <w:rFonts w:ascii="Cambria" w:hAnsi="Cambria"/>
      <w:sz w:val="24"/>
      <w:szCs w:val="24"/>
    </w:rPr>
  </w:style>
  <w:style w:type="character" w:styleId="1252" w:customStyle="1">
    <w:name w:val="Подзаголовок Знак"/>
    <w:basedOn w:val="1065"/>
    <w:link w:val="1251"/>
    <w:uiPriority w:val="11"/>
    <w:rPr>
      <w:rFonts w:ascii="Cambria" w:hAnsi="Cambria" w:cs="Times New Roman"/>
      <w:sz w:val="24"/>
    </w:rPr>
  </w:style>
  <w:style w:type="paragraph" w:styleId="1253">
    <w:name w:val="Footer"/>
    <w:basedOn w:val="1055"/>
    <w:link w:val="1254"/>
    <w:uiPriority w:val="99"/>
    <w:pPr>
      <w:tabs>
        <w:tab w:val="center" w:pos="4153" w:leader="none"/>
        <w:tab w:val="right" w:pos="8306" w:leader="none"/>
      </w:tabs>
    </w:pPr>
  </w:style>
  <w:style w:type="character" w:styleId="1254" w:customStyle="1">
    <w:name w:val="Нижний колонтитул Знак"/>
    <w:basedOn w:val="1065"/>
    <w:link w:val="1253"/>
    <w:uiPriority w:val="99"/>
    <w:rPr>
      <w:rFonts w:cs="Times New Roman"/>
      <w:sz w:val="20"/>
    </w:rPr>
  </w:style>
  <w:style w:type="paragraph" w:styleId="1255" w:customStyle="1">
    <w:name w:val="Body Text 21"/>
    <w:basedOn w:val="1055"/>
    <w:pPr>
      <w:ind w:firstLine="720"/>
      <w:jc w:val="both"/>
    </w:pPr>
    <w:rPr>
      <w:sz w:val="24"/>
      <w:szCs w:val="24"/>
    </w:rPr>
  </w:style>
  <w:style w:type="table" w:styleId="1256">
    <w:name w:val="Table Grid"/>
    <w:basedOn w:val="106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57">
    <w:name w:val="Balloon Text"/>
    <w:basedOn w:val="1055"/>
    <w:link w:val="1258"/>
    <w:uiPriority w:val="99"/>
    <w:semiHidden/>
    <w:rPr>
      <w:rFonts w:ascii="Tahoma" w:hAnsi="Tahoma"/>
      <w:sz w:val="16"/>
      <w:szCs w:val="16"/>
    </w:rPr>
  </w:style>
  <w:style w:type="character" w:styleId="1258" w:customStyle="1">
    <w:name w:val="Текст выноски Знак"/>
    <w:basedOn w:val="1065"/>
    <w:link w:val="1257"/>
    <w:uiPriority w:val="99"/>
    <w:semiHidden/>
    <w:rPr>
      <w:rFonts w:ascii="Tahoma" w:hAnsi="Tahoma" w:cs="Times New Roman"/>
      <w:sz w:val="16"/>
    </w:rPr>
  </w:style>
  <w:style w:type="paragraph" w:styleId="1259" w:customStyle="1">
    <w:name w:val="ConsPlusNormal"/>
    <w:pPr>
      <w:ind w:firstLine="720"/>
    </w:pPr>
    <w:rPr>
      <w:rFonts w:ascii="Arial" w:hAnsi="Arial" w:cs="Arial"/>
    </w:rPr>
  </w:style>
  <w:style w:type="paragraph" w:styleId="1260">
    <w:name w:val="Document Map"/>
    <w:basedOn w:val="1055"/>
    <w:link w:val="1261"/>
    <w:uiPriority w:val="99"/>
    <w:semiHidden/>
    <w:pPr>
      <w:shd w:val="clear" w:color="auto" w:fill="000080"/>
    </w:pPr>
    <w:rPr>
      <w:rFonts w:ascii="Tahoma" w:hAnsi="Tahoma"/>
      <w:sz w:val="16"/>
      <w:szCs w:val="16"/>
    </w:rPr>
  </w:style>
  <w:style w:type="character" w:styleId="1261" w:customStyle="1">
    <w:name w:val="Схема документа Знак"/>
    <w:basedOn w:val="1065"/>
    <w:link w:val="1260"/>
    <w:uiPriority w:val="99"/>
    <w:semiHidden/>
    <w:rPr>
      <w:rFonts w:ascii="Tahoma" w:hAnsi="Tahoma" w:cs="Times New Roman"/>
      <w:sz w:val="16"/>
    </w:rPr>
  </w:style>
  <w:style w:type="character" w:styleId="1262">
    <w:name w:val="annotation reference"/>
    <w:basedOn w:val="1065"/>
    <w:uiPriority w:val="99"/>
    <w:semiHidden/>
    <w:rPr>
      <w:rFonts w:cs="Times New Roman"/>
      <w:sz w:val="16"/>
    </w:rPr>
  </w:style>
  <w:style w:type="paragraph" w:styleId="1263">
    <w:name w:val="annotation text"/>
    <w:basedOn w:val="1055"/>
    <w:link w:val="1264"/>
    <w:uiPriority w:val="99"/>
    <w:semiHidden/>
  </w:style>
  <w:style w:type="character" w:styleId="1264" w:customStyle="1">
    <w:name w:val="Текст примечания Знак"/>
    <w:basedOn w:val="1065"/>
    <w:link w:val="1263"/>
    <w:uiPriority w:val="99"/>
    <w:semiHidden/>
    <w:rPr>
      <w:rFonts w:cs="Times New Roman"/>
      <w:sz w:val="20"/>
    </w:rPr>
  </w:style>
  <w:style w:type="paragraph" w:styleId="1265">
    <w:name w:val="annotation subject"/>
    <w:basedOn w:val="1263"/>
    <w:next w:val="1263"/>
    <w:link w:val="1266"/>
    <w:uiPriority w:val="99"/>
    <w:semiHidden/>
    <w:rPr>
      <w:b/>
      <w:bCs/>
    </w:rPr>
  </w:style>
  <w:style w:type="character" w:styleId="1266" w:customStyle="1">
    <w:name w:val="Тема примечания Знак"/>
    <w:basedOn w:val="1264"/>
    <w:link w:val="1265"/>
    <w:uiPriority w:val="99"/>
    <w:semiHidden/>
    <w:rPr>
      <w:rFonts w:cs="Times New Roman"/>
      <w:b/>
      <w:sz w:val="20"/>
    </w:rPr>
  </w:style>
  <w:style w:type="character" w:styleId="1267">
    <w:name w:val="Hyperlink"/>
    <w:basedOn w:val="1065"/>
    <w:uiPriority w:val="99"/>
    <w:rPr>
      <w:rFonts w:cs="Times New Roman"/>
      <w:color w:val="0000ff"/>
      <w:u w:val="single"/>
    </w:rPr>
  </w:style>
  <w:style w:type="paragraph" w:styleId="1268" w:customStyle="1">
    <w:name w:val="Char Char Знак Знак Знак Знак Знак"/>
    <w:basedOn w:val="1055"/>
    <w:pPr>
      <w:spacing w:after="160" w:line="240" w:lineRule="exact"/>
      <w:tabs>
        <w:tab w:val="num" w:pos="360" w:leader="none"/>
      </w:tabs>
    </w:pPr>
    <w:rPr>
      <w:rFonts w:ascii="Verdana" w:hAnsi="Verdana" w:cs="Verdana"/>
      <w:lang w:val="en-US" w:eastAsia="en-US"/>
    </w:rPr>
  </w:style>
  <w:style w:type="paragraph" w:styleId="126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1270" w:customStyle="1">
    <w:name w:val="ConsPlusTitle"/>
    <w:pPr>
      <w:widowControl w:val="off"/>
    </w:pPr>
    <w:rPr>
      <w:b/>
      <w:bCs/>
      <w:sz w:val="24"/>
      <w:szCs w:val="24"/>
    </w:rPr>
  </w:style>
  <w:style w:type="paragraph" w:styleId="1271">
    <w:name w:val="Revision"/>
    <w:hidden/>
    <w:uiPriority w:val="99"/>
    <w:semiHidden/>
  </w:style>
  <w:style w:type="paragraph" w:styleId="1272" w:customStyle="1">
    <w:name w:val="Знак Знак Знак"/>
    <w:basedOn w:val="1055"/>
    <w:pPr>
      <w:spacing w:after="160" w:line="240" w:lineRule="exact"/>
      <w:tabs>
        <w:tab w:val="num" w:pos="360" w:leader="none"/>
      </w:tabs>
    </w:pPr>
    <w:rPr>
      <w:rFonts w:ascii="Verdana" w:hAnsi="Verdana" w:cs="Verdana"/>
      <w:lang w:val="en-US" w:eastAsia="en-US"/>
    </w:rPr>
  </w:style>
  <w:style w:type="paragraph" w:styleId="1273">
    <w:name w:val="Plain Text"/>
    <w:basedOn w:val="1055"/>
    <w:link w:val="1274"/>
    <w:uiPriority w:val="99"/>
    <w:unhideWhenUsed/>
    <w:rPr>
      <w:rFonts w:ascii="Consolas" w:hAnsi="Consolas"/>
      <w:sz w:val="21"/>
      <w:szCs w:val="21"/>
      <w:lang w:eastAsia="en-US"/>
    </w:rPr>
  </w:style>
  <w:style w:type="character" w:styleId="1274" w:customStyle="1">
    <w:name w:val="Текст Знак"/>
    <w:basedOn w:val="1065"/>
    <w:link w:val="1273"/>
    <w:uiPriority w:val="99"/>
    <w:rPr>
      <w:rFonts w:ascii="Consolas" w:hAnsi="Consolas" w:cs="Times New Roman"/>
      <w:sz w:val="21"/>
      <w:szCs w:val="21"/>
      <w:lang w:eastAsia="en-US"/>
    </w:rPr>
  </w:style>
  <w:style w:type="paragraph" w:styleId="1275">
    <w:name w:val="Normal (Web)"/>
    <w:basedOn w:val="1055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1276">
    <w:name w:val="Placeholder Text"/>
    <w:basedOn w:val="1065"/>
    <w:uiPriority w:val="99"/>
    <w:semiHidden/>
    <w:rPr>
      <w:color w:val="808080"/>
    </w:rPr>
  </w:style>
  <w:style w:type="character" w:styleId="1277" w:customStyle="1">
    <w:name w:val="Основной текст (6)"/>
    <w:uiPriority w:val="9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1278">
    <w:name w:val="List Paragraph"/>
    <w:basedOn w:val="1055"/>
    <w:uiPriority w:val="34"/>
    <w:qFormat/>
    <w:pPr>
      <w:contextualSpacing/>
      <w:ind w:left="720"/>
    </w:pPr>
  </w:style>
  <w:style w:type="character" w:styleId="1279" w:customStyle="1">
    <w:name w:val="picklist1"/>
    <w:basedOn w:val="1065"/>
  </w:style>
  <w:style w:type="paragraph" w:styleId="128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1281">
    <w:name w:val="FollowedHyperlink"/>
    <w:basedOn w:val="1065"/>
    <w:semiHidden/>
    <w:unhideWhenUsed/>
    <w:rPr>
      <w:color w:val="800080" w:themeColor="followedHyperlink"/>
      <w:u w:val="single"/>
    </w:rPr>
  </w:style>
  <w:style w:type="character" w:styleId="1282" w:customStyle="1">
    <w:name w:val="Неразрешенное упоминание1"/>
    <w:basedOn w:val="1065"/>
    <w:uiPriority w:val="99"/>
    <w:semiHidden/>
    <w:unhideWhenUsed/>
    <w:rPr>
      <w:color w:val="605e5c"/>
      <w:shd w:val="clear" w:color="auto" w:fill="e1dfdd"/>
    </w:rPr>
  </w:style>
  <w:style w:type="paragraph" w:styleId="1283" w:customStyle="1">
    <w:name w:val="FR1"/>
    <w:qFormat/>
    <w:pPr>
      <w:ind w:left="80"/>
      <w:spacing w:before="28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i/>
      <w:iCs/>
    </w:rPr>
  </w:style>
  <w:style w:type="character" w:styleId="1284" w:customStyle="1">
    <w:name w:val="Стиль5"/>
    <w:uiPriority w:val="1"/>
    <w:rPr>
      <w:b/>
      <w:sz w:val="15"/>
    </w:rPr>
  </w:style>
  <w:style w:type="paragraph" w:styleId="1285" w:customStyle="1">
    <w:name w:val="Основной текст1"/>
    <w:unhideWhenUsed/>
    <w:qFormat/>
    <w:pPr>
      <w:jc w:val="both"/>
      <w:shd w:val="clear" w:color="000000" w:fill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 w:val="24"/>
    </w:rPr>
  </w:style>
  <w:style w:type="paragraph" w:styleId="1286" w:customStyle="1">
    <w:name w:val="Основной текст 21"/>
    <w:unhideWhenUsed/>
    <w:pPr>
      <w:ind w:right="19"/>
      <w:jc w:val="both"/>
      <w:spacing w:line="269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</w:rPr>
  </w:style>
  <w:style w:type="paragraph" w:styleId="1287" w:customStyle="1">
    <w:name w:val="Основной текст с отступом 31"/>
    <w:uiPriority w:val="99"/>
    <w:pPr>
      <w:ind w:left="283"/>
      <w:spacing w:after="12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/>
      <w:sz w:val="16"/>
      <w:lang w:val="en-US"/>
    </w:rPr>
  </w:style>
  <w:style w:type="paragraph" w:styleId="1288" w:customStyle="1">
    <w:name w:val="Параграф"/>
    <w:qFormat/>
    <w:pPr>
      <w:ind w:firstLine="567"/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ahoma" w:hAnsi="Tahoma" w:eastAsia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header" Target="header3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customXml" Target="../customXml/item1.xml" /><Relationship Id="rId17" Type="http://schemas.openxmlformats.org/officeDocument/2006/relationships/customXml" Target="../customXml/item2.xml" /><Relationship Id="rId18" Type="http://schemas.openxmlformats.org/officeDocument/2006/relationships/customXml" Target="../customXml/item3.xml" /><Relationship Id="rId19" Type="http://schemas.openxmlformats.org/officeDocument/2006/relationships/customXml" Target="../customXml/item4.xml" /><Relationship Id="rId20" Type="http://schemas.openxmlformats.org/officeDocument/2006/relationships/hyperlink" Target="https://&#1085;&#1072;&#1096;.&#1076;&#1086;&#1084;.&#1088;&#1092;" TargetMode="External"/><Relationship Id="rId21" Type="http://schemas.openxmlformats.org/officeDocument/2006/relationships/hyperlink" Target="https://&#1085;&#1072;&#1096;.&#1076;&#1086;&#1084;.&#1088;&#1092;" TargetMode="External"/><Relationship Id="rId22" Type="http://schemas.onlyoffice.com/commentsDocument" Target="commentsDocument.xml" /><Relationship Id="rId23" Type="http://schemas.onlyoffice.com/commentsExtendedDocument" Target="commentsExtendedDocument.xml" /><Relationship Id="rId24" Type="http://schemas.onlyoffice.com/commentsExtensibleDocument" Target="commentsExtensibleDocument.xml" /><Relationship Id="rId25" Type="http://schemas.onlyoffice.com/commentsIdsDocument" Target="commentsIdsDocument.xml" /><Relationship Id="rId26" Type="http://schemas.onlyoffice.com/peopleDocument" Target="peopleDocument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46eebb46bcf245d2bcee668a78204d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28469D-53EB-4AAB-B702-B997E06B2750}"/>
      </w:docPartPr>
      <w:docPartBody>
        <w:p>
          <w: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757">
    <w:name w:val="Heading 1 Char"/>
    <w:basedOn w:val="1785"/>
    <w:link w:val="1776"/>
    <w:uiPriority w:val="9"/>
    <w:rPr>
      <w:rFonts w:ascii="Arial" w:hAnsi="Arial" w:eastAsia="Arial" w:cs="Arial"/>
      <w:sz w:val="40"/>
      <w:szCs w:val="40"/>
    </w:rPr>
  </w:style>
  <w:style w:type="character" w:styleId="1758">
    <w:name w:val="Heading 2 Char"/>
    <w:basedOn w:val="1785"/>
    <w:link w:val="1777"/>
    <w:uiPriority w:val="9"/>
    <w:rPr>
      <w:rFonts w:ascii="Arial" w:hAnsi="Arial" w:eastAsia="Arial" w:cs="Arial"/>
      <w:sz w:val="34"/>
    </w:rPr>
  </w:style>
  <w:style w:type="character" w:styleId="1759">
    <w:name w:val="Heading 3 Char"/>
    <w:basedOn w:val="1785"/>
    <w:link w:val="1778"/>
    <w:uiPriority w:val="9"/>
    <w:rPr>
      <w:rFonts w:ascii="Arial" w:hAnsi="Arial" w:eastAsia="Arial" w:cs="Arial"/>
      <w:sz w:val="30"/>
      <w:szCs w:val="30"/>
    </w:rPr>
  </w:style>
  <w:style w:type="character" w:styleId="1760">
    <w:name w:val="Heading 4 Char"/>
    <w:basedOn w:val="1785"/>
    <w:link w:val="1779"/>
    <w:uiPriority w:val="9"/>
    <w:rPr>
      <w:rFonts w:ascii="Arial" w:hAnsi="Arial" w:eastAsia="Arial" w:cs="Arial"/>
      <w:b/>
      <w:bCs/>
      <w:sz w:val="26"/>
      <w:szCs w:val="26"/>
    </w:rPr>
  </w:style>
  <w:style w:type="character" w:styleId="1761">
    <w:name w:val="Heading 5 Char"/>
    <w:basedOn w:val="1785"/>
    <w:link w:val="1780"/>
    <w:uiPriority w:val="9"/>
    <w:rPr>
      <w:rFonts w:ascii="Arial" w:hAnsi="Arial" w:eastAsia="Arial" w:cs="Arial"/>
      <w:b/>
      <w:bCs/>
      <w:sz w:val="24"/>
      <w:szCs w:val="24"/>
    </w:rPr>
  </w:style>
  <w:style w:type="character" w:styleId="1762">
    <w:name w:val="Heading 6 Char"/>
    <w:basedOn w:val="1785"/>
    <w:link w:val="1781"/>
    <w:uiPriority w:val="9"/>
    <w:rPr>
      <w:rFonts w:ascii="Arial" w:hAnsi="Arial" w:eastAsia="Arial" w:cs="Arial"/>
      <w:b/>
      <w:bCs/>
      <w:sz w:val="22"/>
      <w:szCs w:val="22"/>
    </w:rPr>
  </w:style>
  <w:style w:type="character" w:styleId="1763">
    <w:name w:val="Heading 7 Char"/>
    <w:basedOn w:val="1785"/>
    <w:link w:val="1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764">
    <w:name w:val="Heading 8 Char"/>
    <w:basedOn w:val="1785"/>
    <w:link w:val="1783"/>
    <w:uiPriority w:val="9"/>
    <w:rPr>
      <w:rFonts w:ascii="Arial" w:hAnsi="Arial" w:eastAsia="Arial" w:cs="Arial"/>
      <w:i/>
      <w:iCs/>
      <w:sz w:val="22"/>
      <w:szCs w:val="22"/>
    </w:rPr>
  </w:style>
  <w:style w:type="character" w:styleId="1765">
    <w:name w:val="Heading 9 Char"/>
    <w:basedOn w:val="1785"/>
    <w:link w:val="1784"/>
    <w:uiPriority w:val="9"/>
    <w:rPr>
      <w:rFonts w:ascii="Arial" w:hAnsi="Arial" w:eastAsia="Arial" w:cs="Arial"/>
      <w:i/>
      <w:iCs/>
      <w:sz w:val="21"/>
      <w:szCs w:val="21"/>
    </w:rPr>
  </w:style>
  <w:style w:type="character" w:styleId="1766">
    <w:name w:val="Title Char"/>
    <w:basedOn w:val="1785"/>
    <w:link w:val="1799"/>
    <w:uiPriority w:val="10"/>
    <w:rPr>
      <w:sz w:val="48"/>
      <w:szCs w:val="48"/>
    </w:rPr>
  </w:style>
  <w:style w:type="character" w:styleId="1767">
    <w:name w:val="Subtitle Char"/>
    <w:basedOn w:val="1785"/>
    <w:link w:val="1801"/>
    <w:uiPriority w:val="11"/>
    <w:rPr>
      <w:sz w:val="24"/>
      <w:szCs w:val="24"/>
    </w:rPr>
  </w:style>
  <w:style w:type="character" w:styleId="1768">
    <w:name w:val="Quote Char"/>
    <w:link w:val="1803"/>
    <w:uiPriority w:val="29"/>
    <w:rPr>
      <w:i/>
    </w:rPr>
  </w:style>
  <w:style w:type="character" w:styleId="1769">
    <w:name w:val="Intense Quote Char"/>
    <w:link w:val="1805"/>
    <w:uiPriority w:val="30"/>
    <w:rPr>
      <w:i/>
    </w:rPr>
  </w:style>
  <w:style w:type="character" w:styleId="1770">
    <w:name w:val="Header Char"/>
    <w:basedOn w:val="1785"/>
    <w:link w:val="1807"/>
    <w:uiPriority w:val="99"/>
  </w:style>
  <w:style w:type="character" w:styleId="1771">
    <w:name w:val="Footer Char"/>
    <w:basedOn w:val="1785"/>
    <w:link w:val="1809"/>
    <w:uiPriority w:val="99"/>
  </w:style>
  <w:style w:type="character" w:styleId="1772">
    <w:name w:val="Caption Char"/>
    <w:basedOn w:val="1785"/>
    <w:link w:val="1810"/>
    <w:uiPriority w:val="35"/>
    <w:rPr>
      <w:b/>
      <w:bCs/>
      <w:color w:val="4f81bd" w:themeColor="accent1"/>
      <w:sz w:val="18"/>
      <w:szCs w:val="18"/>
    </w:rPr>
  </w:style>
  <w:style w:type="character" w:styleId="1773">
    <w:name w:val="Footnote Text Char"/>
    <w:link w:val="1939"/>
    <w:uiPriority w:val="99"/>
    <w:rPr>
      <w:sz w:val="18"/>
    </w:rPr>
  </w:style>
  <w:style w:type="character" w:styleId="1774">
    <w:name w:val="Endnote Text Char"/>
    <w:link w:val="1942"/>
    <w:uiPriority w:val="99"/>
    <w:rPr>
      <w:sz w:val="20"/>
    </w:rPr>
  </w:style>
  <w:style w:type="paragraph" w:styleId="1775" w:default="1">
    <w:name w:val="Normal"/>
    <w:qFormat/>
  </w:style>
  <w:style w:type="paragraph" w:styleId="1776">
    <w:name w:val="Heading 1"/>
    <w:basedOn w:val="1775"/>
    <w:next w:val="1775"/>
    <w:link w:val="178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777">
    <w:name w:val="Heading 2"/>
    <w:basedOn w:val="1775"/>
    <w:next w:val="1775"/>
    <w:link w:val="17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778">
    <w:name w:val="Heading 3"/>
    <w:basedOn w:val="1775"/>
    <w:next w:val="1775"/>
    <w:link w:val="1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779">
    <w:name w:val="Heading 4"/>
    <w:basedOn w:val="1775"/>
    <w:next w:val="1775"/>
    <w:link w:val="17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780">
    <w:name w:val="Heading 5"/>
    <w:basedOn w:val="1775"/>
    <w:next w:val="1775"/>
    <w:link w:val="17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781">
    <w:name w:val="Heading 6"/>
    <w:basedOn w:val="1775"/>
    <w:next w:val="1775"/>
    <w:link w:val="17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782">
    <w:name w:val="Heading 7"/>
    <w:basedOn w:val="1775"/>
    <w:next w:val="1775"/>
    <w:link w:val="1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783">
    <w:name w:val="Heading 8"/>
    <w:basedOn w:val="1775"/>
    <w:next w:val="1775"/>
    <w:link w:val="1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784">
    <w:name w:val="Heading 9"/>
    <w:basedOn w:val="1775"/>
    <w:next w:val="1775"/>
    <w:link w:val="1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785" w:default="1">
    <w:name w:val="Default Paragraph Font"/>
    <w:uiPriority w:val="1"/>
    <w:semiHidden/>
    <w:unhideWhenUsed/>
  </w:style>
  <w:style w:type="table" w:styleId="17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787" w:default="1">
    <w:name w:val="No List"/>
    <w:uiPriority w:val="99"/>
    <w:semiHidden/>
    <w:unhideWhenUsed/>
  </w:style>
  <w:style w:type="character" w:styleId="1788" w:customStyle="1">
    <w:name w:val="Заголовок 1 Знак"/>
    <w:basedOn w:val="1785"/>
    <w:link w:val="1776"/>
    <w:uiPriority w:val="9"/>
    <w:rPr>
      <w:rFonts w:ascii="Arial" w:hAnsi="Arial" w:eastAsia="Arial" w:cs="Arial"/>
      <w:sz w:val="40"/>
      <w:szCs w:val="40"/>
    </w:rPr>
  </w:style>
  <w:style w:type="character" w:styleId="1789" w:customStyle="1">
    <w:name w:val="Заголовок 2 Знак"/>
    <w:basedOn w:val="1785"/>
    <w:link w:val="1777"/>
    <w:uiPriority w:val="9"/>
    <w:rPr>
      <w:rFonts w:ascii="Arial" w:hAnsi="Arial" w:eastAsia="Arial" w:cs="Arial"/>
      <w:sz w:val="34"/>
    </w:rPr>
  </w:style>
  <w:style w:type="character" w:styleId="1790" w:customStyle="1">
    <w:name w:val="Заголовок 3 Знак"/>
    <w:basedOn w:val="1785"/>
    <w:link w:val="1778"/>
    <w:uiPriority w:val="9"/>
    <w:rPr>
      <w:rFonts w:ascii="Arial" w:hAnsi="Arial" w:eastAsia="Arial" w:cs="Arial"/>
      <w:sz w:val="30"/>
      <w:szCs w:val="30"/>
    </w:rPr>
  </w:style>
  <w:style w:type="character" w:styleId="1791" w:customStyle="1">
    <w:name w:val="Заголовок 4 Знак"/>
    <w:basedOn w:val="1785"/>
    <w:link w:val="1779"/>
    <w:uiPriority w:val="9"/>
    <w:rPr>
      <w:rFonts w:ascii="Arial" w:hAnsi="Arial" w:eastAsia="Arial" w:cs="Arial"/>
      <w:b/>
      <w:bCs/>
      <w:sz w:val="26"/>
      <w:szCs w:val="26"/>
    </w:rPr>
  </w:style>
  <w:style w:type="character" w:styleId="1792" w:customStyle="1">
    <w:name w:val="Заголовок 5 Знак"/>
    <w:basedOn w:val="1785"/>
    <w:link w:val="1780"/>
    <w:uiPriority w:val="9"/>
    <w:rPr>
      <w:rFonts w:ascii="Arial" w:hAnsi="Arial" w:eastAsia="Arial" w:cs="Arial"/>
      <w:b/>
      <w:bCs/>
      <w:sz w:val="24"/>
      <w:szCs w:val="24"/>
    </w:rPr>
  </w:style>
  <w:style w:type="character" w:styleId="1793" w:customStyle="1">
    <w:name w:val="Заголовок 6 Знак"/>
    <w:basedOn w:val="1785"/>
    <w:link w:val="1781"/>
    <w:uiPriority w:val="9"/>
    <w:rPr>
      <w:rFonts w:ascii="Arial" w:hAnsi="Arial" w:eastAsia="Arial" w:cs="Arial"/>
      <w:b/>
      <w:bCs/>
      <w:sz w:val="22"/>
      <w:szCs w:val="22"/>
    </w:rPr>
  </w:style>
  <w:style w:type="character" w:styleId="1794" w:customStyle="1">
    <w:name w:val="Заголовок 7 Знак"/>
    <w:basedOn w:val="1785"/>
    <w:link w:val="1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795" w:customStyle="1">
    <w:name w:val="Заголовок 8 Знак"/>
    <w:basedOn w:val="1785"/>
    <w:link w:val="1783"/>
    <w:uiPriority w:val="9"/>
    <w:rPr>
      <w:rFonts w:ascii="Arial" w:hAnsi="Arial" w:eastAsia="Arial" w:cs="Arial"/>
      <w:i/>
      <w:iCs/>
      <w:sz w:val="22"/>
      <w:szCs w:val="22"/>
    </w:rPr>
  </w:style>
  <w:style w:type="character" w:styleId="1796" w:customStyle="1">
    <w:name w:val="Заголовок 9 Знак"/>
    <w:basedOn w:val="1785"/>
    <w:link w:val="1784"/>
    <w:uiPriority w:val="9"/>
    <w:rPr>
      <w:rFonts w:ascii="Arial" w:hAnsi="Arial" w:eastAsia="Arial" w:cs="Arial"/>
      <w:i/>
      <w:iCs/>
      <w:sz w:val="21"/>
      <w:szCs w:val="21"/>
    </w:rPr>
  </w:style>
  <w:style w:type="paragraph" w:styleId="1797">
    <w:name w:val="List Paragraph"/>
    <w:basedOn w:val="1775"/>
    <w:uiPriority w:val="34"/>
    <w:qFormat/>
    <w:pPr>
      <w:contextualSpacing/>
      <w:ind w:left="720"/>
    </w:pPr>
  </w:style>
  <w:style w:type="paragraph" w:styleId="1798">
    <w:name w:val="No Spacing"/>
    <w:uiPriority w:val="1"/>
    <w:qFormat/>
  </w:style>
  <w:style w:type="paragraph" w:styleId="1799">
    <w:name w:val="Title"/>
    <w:basedOn w:val="1775"/>
    <w:next w:val="1775"/>
    <w:link w:val="1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800" w:customStyle="1">
    <w:name w:val="Заголовок Знак"/>
    <w:basedOn w:val="1785"/>
    <w:link w:val="1799"/>
    <w:uiPriority w:val="10"/>
    <w:rPr>
      <w:sz w:val="48"/>
      <w:szCs w:val="48"/>
    </w:rPr>
  </w:style>
  <w:style w:type="paragraph" w:styleId="1801">
    <w:name w:val="Subtitle"/>
    <w:basedOn w:val="1775"/>
    <w:next w:val="1775"/>
    <w:link w:val="1802"/>
    <w:uiPriority w:val="11"/>
    <w:qFormat/>
    <w:pPr>
      <w:spacing w:before="200" w:after="200"/>
    </w:pPr>
    <w:rPr>
      <w:sz w:val="24"/>
      <w:szCs w:val="24"/>
    </w:rPr>
  </w:style>
  <w:style w:type="character" w:styleId="1802" w:customStyle="1">
    <w:name w:val="Подзаголовок Знак"/>
    <w:basedOn w:val="1785"/>
    <w:link w:val="1801"/>
    <w:uiPriority w:val="11"/>
    <w:rPr>
      <w:sz w:val="24"/>
      <w:szCs w:val="24"/>
    </w:rPr>
  </w:style>
  <w:style w:type="paragraph" w:styleId="1803">
    <w:name w:val="Quote"/>
    <w:basedOn w:val="1775"/>
    <w:next w:val="1775"/>
    <w:link w:val="1804"/>
    <w:uiPriority w:val="29"/>
    <w:qFormat/>
    <w:pPr>
      <w:ind w:left="720" w:right="720"/>
    </w:pPr>
    <w:rPr>
      <w:i/>
    </w:rPr>
  </w:style>
  <w:style w:type="character" w:styleId="1804" w:customStyle="1">
    <w:name w:val="Цитата 2 Знак"/>
    <w:link w:val="1803"/>
    <w:uiPriority w:val="29"/>
    <w:rPr>
      <w:i/>
    </w:rPr>
  </w:style>
  <w:style w:type="paragraph" w:styleId="1805">
    <w:name w:val="Intense Quote"/>
    <w:basedOn w:val="1775"/>
    <w:next w:val="1775"/>
    <w:link w:val="18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806" w:customStyle="1">
    <w:name w:val="Выделенная цитата Знак"/>
    <w:link w:val="1805"/>
    <w:uiPriority w:val="30"/>
    <w:rPr>
      <w:i/>
    </w:rPr>
  </w:style>
  <w:style w:type="paragraph" w:styleId="1807">
    <w:name w:val="Header"/>
    <w:basedOn w:val="1775"/>
    <w:link w:val="180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1808" w:customStyle="1">
    <w:name w:val="Верхний колонтитул Знак"/>
    <w:basedOn w:val="1785"/>
    <w:link w:val="1807"/>
    <w:uiPriority w:val="99"/>
  </w:style>
  <w:style w:type="paragraph" w:styleId="1809">
    <w:name w:val="Footer"/>
    <w:basedOn w:val="1775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1810">
    <w:name w:val="Caption"/>
    <w:basedOn w:val="1775"/>
    <w:next w:val="1775"/>
    <w:link w:val="1811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1811" w:customStyle="1">
    <w:name w:val="Название объекта Знак"/>
    <w:link w:val="1810"/>
    <w:uiPriority w:val="99"/>
  </w:style>
  <w:style w:type="table" w:styleId="1812">
    <w:name w:val="Table Grid"/>
    <w:basedOn w:val="178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813" w:customStyle="1">
    <w:name w:val="Table Grid Light"/>
    <w:basedOn w:val="178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814">
    <w:name w:val="Plain Table 1"/>
    <w:basedOn w:val="178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815">
    <w:name w:val="Plain Table 2"/>
    <w:basedOn w:val="178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816">
    <w:name w:val="Plain Table 3"/>
    <w:basedOn w:val="17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817">
    <w:name w:val="Plain Table 4"/>
    <w:basedOn w:val="17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18">
    <w:name w:val="Plain Table 5"/>
    <w:basedOn w:val="17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819">
    <w:name w:val="Grid Table 1 Light"/>
    <w:basedOn w:val="178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0" w:customStyle="1">
    <w:name w:val="Grid Table 1 Light - Accent 1"/>
    <w:basedOn w:val="178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1" w:customStyle="1">
    <w:name w:val="Grid Table 1 Light - Accent 2"/>
    <w:basedOn w:val="178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2" w:customStyle="1">
    <w:name w:val="Grid Table 1 Light - Accent 3"/>
    <w:basedOn w:val="178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3" w:customStyle="1">
    <w:name w:val="Grid Table 1 Light - Accent 4"/>
    <w:basedOn w:val="178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4" w:customStyle="1">
    <w:name w:val="Grid Table 1 Light - Accent 5"/>
    <w:basedOn w:val="178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5" w:customStyle="1">
    <w:name w:val="Grid Table 1 Light - Accent 6"/>
    <w:basedOn w:val="178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26">
    <w:name w:val="Grid Table 2"/>
    <w:basedOn w:val="178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27" w:customStyle="1">
    <w:name w:val="Grid Table 2 - Accent 1"/>
    <w:basedOn w:val="178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28" w:customStyle="1">
    <w:name w:val="Grid Table 2 - Accent 2"/>
    <w:basedOn w:val="178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29" w:customStyle="1">
    <w:name w:val="Grid Table 2 - Accent 3"/>
    <w:basedOn w:val="178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0" w:customStyle="1">
    <w:name w:val="Grid Table 2 - Accent 4"/>
    <w:basedOn w:val="178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1" w:customStyle="1">
    <w:name w:val="Grid Table 2 - Accent 5"/>
    <w:basedOn w:val="178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2" w:customStyle="1">
    <w:name w:val="Grid Table 2 - Accent 6"/>
    <w:basedOn w:val="178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3">
    <w:name w:val="Grid Table 3"/>
    <w:basedOn w:val="178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4" w:customStyle="1">
    <w:name w:val="Grid Table 3 - Accent 1"/>
    <w:basedOn w:val="178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5" w:customStyle="1">
    <w:name w:val="Grid Table 3 - Accent 2"/>
    <w:basedOn w:val="178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6" w:customStyle="1">
    <w:name w:val="Grid Table 3 - Accent 3"/>
    <w:basedOn w:val="178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7" w:customStyle="1">
    <w:name w:val="Grid Table 3 - Accent 4"/>
    <w:basedOn w:val="178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8" w:customStyle="1">
    <w:name w:val="Grid Table 3 - Accent 5"/>
    <w:basedOn w:val="178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39" w:customStyle="1">
    <w:name w:val="Grid Table 3 - Accent 6"/>
    <w:basedOn w:val="178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40">
    <w:name w:val="Grid Table 4"/>
    <w:basedOn w:val="178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841" w:customStyle="1">
    <w:name w:val="Grid Table 4 - Accent 1"/>
    <w:basedOn w:val="1786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842" w:customStyle="1">
    <w:name w:val="Grid Table 4 - Accent 2"/>
    <w:basedOn w:val="178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843" w:customStyle="1">
    <w:name w:val="Grid Table 4 - Accent 3"/>
    <w:basedOn w:val="178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844" w:customStyle="1">
    <w:name w:val="Grid Table 4 - Accent 4"/>
    <w:basedOn w:val="178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845" w:customStyle="1">
    <w:name w:val="Grid Table 4 - Accent 5"/>
    <w:basedOn w:val="1786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846" w:customStyle="1">
    <w:name w:val="Grid Table 4 - Accent 6"/>
    <w:basedOn w:val="178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847">
    <w:name w:val="Grid Table 5 Dark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848" w:customStyle="1">
    <w:name w:val="Grid Table 5 Dark- Accent 1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849" w:customStyle="1">
    <w:name w:val="Grid Table 5 Dark - Accent 2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850" w:customStyle="1">
    <w:name w:val="Grid Table 5 Dark - Accent 3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851" w:customStyle="1">
    <w:name w:val="Grid Table 5 Dark- Accent 4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852" w:customStyle="1">
    <w:name w:val="Grid Table 5 Dark - Accent 5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853" w:customStyle="1">
    <w:name w:val="Grid Table 5 Dark - Accent 6"/>
    <w:basedOn w:val="17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854">
    <w:name w:val="Grid Table 6 Colorful"/>
    <w:basedOn w:val="178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855" w:customStyle="1">
    <w:name w:val="Grid Table 6 Colorful - Accent 1"/>
    <w:basedOn w:val="1786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856" w:customStyle="1">
    <w:name w:val="Grid Table 6 Colorful - Accent 2"/>
    <w:basedOn w:val="178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857" w:customStyle="1">
    <w:name w:val="Grid Table 6 Colorful - Accent 3"/>
    <w:basedOn w:val="178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858" w:customStyle="1">
    <w:name w:val="Grid Table 6 Colorful - Accent 4"/>
    <w:basedOn w:val="178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859" w:customStyle="1">
    <w:name w:val="Grid Table 6 Colorful - Accent 5"/>
    <w:basedOn w:val="1786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860" w:customStyle="1">
    <w:name w:val="Grid Table 6 Colorful - Accent 6"/>
    <w:basedOn w:val="178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861">
    <w:name w:val="Grid Table 7 Colorful"/>
    <w:basedOn w:val="178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2" w:customStyle="1">
    <w:name w:val="Grid Table 7 Colorful - Accent 1"/>
    <w:basedOn w:val="1786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3" w:customStyle="1">
    <w:name w:val="Grid Table 7 Colorful - Accent 2"/>
    <w:basedOn w:val="178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4" w:customStyle="1">
    <w:name w:val="Grid Table 7 Colorful - Accent 3"/>
    <w:basedOn w:val="178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5" w:customStyle="1">
    <w:name w:val="Grid Table 7 Colorful - Accent 4"/>
    <w:basedOn w:val="178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6" w:customStyle="1">
    <w:name w:val="Grid Table 7 Colorful - Accent 5"/>
    <w:basedOn w:val="1786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7" w:customStyle="1">
    <w:name w:val="Grid Table 7 Colorful - Accent 6"/>
    <w:basedOn w:val="178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8">
    <w:name w:val="List Table 1 Light"/>
    <w:basedOn w:val="178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69" w:customStyle="1">
    <w:name w:val="List Table 1 Light - Accent 1"/>
    <w:basedOn w:val="1786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0" w:customStyle="1">
    <w:name w:val="List Table 1 Light - Accent 2"/>
    <w:basedOn w:val="178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1" w:customStyle="1">
    <w:name w:val="List Table 1 Light - Accent 3"/>
    <w:basedOn w:val="178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2" w:customStyle="1">
    <w:name w:val="List Table 1 Light - Accent 4"/>
    <w:basedOn w:val="178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3" w:customStyle="1">
    <w:name w:val="List Table 1 Light - Accent 5"/>
    <w:basedOn w:val="1786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4" w:customStyle="1">
    <w:name w:val="List Table 1 Light - Accent 6"/>
    <w:basedOn w:val="178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875">
    <w:name w:val="List Table 2"/>
    <w:basedOn w:val="178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876" w:customStyle="1">
    <w:name w:val="List Table 2 - Accent 1"/>
    <w:basedOn w:val="1786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877" w:customStyle="1">
    <w:name w:val="List Table 2 - Accent 2"/>
    <w:basedOn w:val="178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878" w:customStyle="1">
    <w:name w:val="List Table 2 - Accent 3"/>
    <w:basedOn w:val="178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879" w:customStyle="1">
    <w:name w:val="List Table 2 - Accent 4"/>
    <w:basedOn w:val="178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880" w:customStyle="1">
    <w:name w:val="List Table 2 - Accent 5"/>
    <w:basedOn w:val="1786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881" w:customStyle="1">
    <w:name w:val="List Table 2 - Accent 6"/>
    <w:basedOn w:val="178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882">
    <w:name w:val="List Table 3"/>
    <w:basedOn w:val="178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3" w:customStyle="1">
    <w:name w:val="List Table 3 - Accent 1"/>
    <w:basedOn w:val="1786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4" w:customStyle="1">
    <w:name w:val="List Table 3 - Accent 2"/>
    <w:basedOn w:val="178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5" w:customStyle="1">
    <w:name w:val="List Table 3 - Accent 3"/>
    <w:basedOn w:val="178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6" w:customStyle="1">
    <w:name w:val="List Table 3 - Accent 4"/>
    <w:basedOn w:val="178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7" w:customStyle="1">
    <w:name w:val="List Table 3 - Accent 5"/>
    <w:basedOn w:val="1786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8" w:customStyle="1">
    <w:name w:val="List Table 3 - Accent 6"/>
    <w:basedOn w:val="178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89">
    <w:name w:val="List Table 4"/>
    <w:basedOn w:val="178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0" w:customStyle="1">
    <w:name w:val="List Table 4 - Accent 1"/>
    <w:basedOn w:val="1786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1" w:customStyle="1">
    <w:name w:val="List Table 4 - Accent 2"/>
    <w:basedOn w:val="178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2" w:customStyle="1">
    <w:name w:val="List Table 4 - Accent 3"/>
    <w:basedOn w:val="178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3" w:customStyle="1">
    <w:name w:val="List Table 4 - Accent 4"/>
    <w:basedOn w:val="178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4" w:customStyle="1">
    <w:name w:val="List Table 4 - Accent 5"/>
    <w:basedOn w:val="1786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5" w:customStyle="1">
    <w:name w:val="List Table 4 - Accent 6"/>
    <w:basedOn w:val="178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896">
    <w:name w:val="List Table 5 Dark"/>
    <w:basedOn w:val="178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897" w:customStyle="1">
    <w:name w:val="List Table 5 Dark - Accent 1"/>
    <w:basedOn w:val="1786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898" w:customStyle="1">
    <w:name w:val="List Table 5 Dark - Accent 2"/>
    <w:basedOn w:val="178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899" w:customStyle="1">
    <w:name w:val="List Table 5 Dark - Accent 3"/>
    <w:basedOn w:val="178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00" w:customStyle="1">
    <w:name w:val="List Table 5 Dark - Accent 4"/>
    <w:basedOn w:val="178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01" w:customStyle="1">
    <w:name w:val="List Table 5 Dark - Accent 5"/>
    <w:basedOn w:val="1786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02" w:customStyle="1">
    <w:name w:val="List Table 5 Dark - Accent 6"/>
    <w:basedOn w:val="178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903">
    <w:name w:val="List Table 6 Colorful"/>
    <w:basedOn w:val="178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904" w:customStyle="1">
    <w:name w:val="List Table 6 Colorful - Accent 1"/>
    <w:basedOn w:val="1786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905" w:customStyle="1">
    <w:name w:val="List Table 6 Colorful - Accent 2"/>
    <w:basedOn w:val="178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906" w:customStyle="1">
    <w:name w:val="List Table 6 Colorful - Accent 3"/>
    <w:basedOn w:val="178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907" w:customStyle="1">
    <w:name w:val="List Table 6 Colorful - Accent 4"/>
    <w:basedOn w:val="178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908" w:customStyle="1">
    <w:name w:val="List Table 6 Colorful - Accent 5"/>
    <w:basedOn w:val="1786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909" w:customStyle="1">
    <w:name w:val="List Table 6 Colorful - Accent 6"/>
    <w:basedOn w:val="178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910">
    <w:name w:val="List Table 7 Colorful"/>
    <w:basedOn w:val="178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1" w:customStyle="1">
    <w:name w:val="List Table 7 Colorful - Accent 1"/>
    <w:basedOn w:val="1786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2" w:customStyle="1">
    <w:name w:val="List Table 7 Colorful - Accent 2"/>
    <w:basedOn w:val="178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3" w:customStyle="1">
    <w:name w:val="List Table 7 Colorful - Accent 3"/>
    <w:basedOn w:val="178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4" w:customStyle="1">
    <w:name w:val="List Table 7 Colorful - Accent 4"/>
    <w:basedOn w:val="178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5" w:customStyle="1">
    <w:name w:val="List Table 7 Colorful - Accent 5"/>
    <w:basedOn w:val="1786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6" w:customStyle="1">
    <w:name w:val="List Table 7 Colorful - Accent 6"/>
    <w:basedOn w:val="178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917" w:customStyle="1">
    <w:name w:val="Lined - Accent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918" w:customStyle="1">
    <w:name w:val="Lined - Accent 1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919" w:customStyle="1">
    <w:name w:val="Lined - Accent 2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920" w:customStyle="1">
    <w:name w:val="Lined - Accent 3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921" w:customStyle="1">
    <w:name w:val="Lined - Accent 4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922" w:customStyle="1">
    <w:name w:val="Lined - Accent 5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923" w:customStyle="1">
    <w:name w:val="Lined - Accent 6"/>
    <w:basedOn w:val="17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924" w:customStyle="1">
    <w:name w:val="Bordered &amp; Lined - Accent"/>
    <w:basedOn w:val="178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925" w:customStyle="1">
    <w:name w:val="Bordered &amp; Lined - Accent 1"/>
    <w:basedOn w:val="1786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926" w:customStyle="1">
    <w:name w:val="Bordered &amp; Lined - Accent 2"/>
    <w:basedOn w:val="178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927" w:customStyle="1">
    <w:name w:val="Bordered &amp; Lined - Accent 3"/>
    <w:basedOn w:val="178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928" w:customStyle="1">
    <w:name w:val="Bordered &amp; Lined - Accent 4"/>
    <w:basedOn w:val="178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929" w:customStyle="1">
    <w:name w:val="Bordered &amp; Lined - Accent 5"/>
    <w:basedOn w:val="1786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930" w:customStyle="1">
    <w:name w:val="Bordered &amp; Lined - Accent 6"/>
    <w:basedOn w:val="178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931" w:customStyle="1">
    <w:name w:val="Bordered"/>
    <w:basedOn w:val="178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932" w:customStyle="1">
    <w:name w:val="Bordered - Accent 1"/>
    <w:basedOn w:val="178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933" w:customStyle="1">
    <w:name w:val="Bordered - Accent 2"/>
    <w:basedOn w:val="178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934" w:customStyle="1">
    <w:name w:val="Bordered - Accent 3"/>
    <w:basedOn w:val="178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935" w:customStyle="1">
    <w:name w:val="Bordered - Accent 4"/>
    <w:basedOn w:val="178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936" w:customStyle="1">
    <w:name w:val="Bordered - Accent 5"/>
    <w:basedOn w:val="178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937" w:customStyle="1">
    <w:name w:val="Bordered - Accent 6"/>
    <w:basedOn w:val="178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938">
    <w:name w:val="Hyperlink"/>
    <w:uiPriority w:val="99"/>
    <w:unhideWhenUsed/>
    <w:rPr>
      <w:color w:val="0563c1" w:themeColor="hyperlink"/>
      <w:u w:val="single"/>
    </w:rPr>
  </w:style>
  <w:style w:type="paragraph" w:styleId="1939">
    <w:name w:val="footnote text"/>
    <w:basedOn w:val="1775"/>
    <w:link w:val="1940"/>
    <w:uiPriority w:val="99"/>
    <w:semiHidden/>
    <w:unhideWhenUsed/>
    <w:pPr>
      <w:spacing w:after="40"/>
    </w:pPr>
    <w:rPr>
      <w:sz w:val="18"/>
    </w:rPr>
  </w:style>
  <w:style w:type="character" w:styleId="1940" w:customStyle="1">
    <w:name w:val="Текст сноски Знак"/>
    <w:link w:val="1939"/>
    <w:uiPriority w:val="99"/>
    <w:rPr>
      <w:sz w:val="18"/>
    </w:rPr>
  </w:style>
  <w:style w:type="character" w:styleId="1941">
    <w:name w:val="footnote reference"/>
    <w:basedOn w:val="1785"/>
    <w:uiPriority w:val="99"/>
    <w:unhideWhenUsed/>
    <w:rPr>
      <w:vertAlign w:val="superscript"/>
    </w:rPr>
  </w:style>
  <w:style w:type="paragraph" w:styleId="1942">
    <w:name w:val="endnote text"/>
    <w:basedOn w:val="1775"/>
    <w:link w:val="1943"/>
    <w:uiPriority w:val="99"/>
    <w:semiHidden/>
    <w:unhideWhenUsed/>
  </w:style>
  <w:style w:type="character" w:styleId="1943" w:customStyle="1">
    <w:name w:val="Текст концевой сноски Знак"/>
    <w:link w:val="1942"/>
    <w:uiPriority w:val="99"/>
    <w:rPr>
      <w:sz w:val="20"/>
    </w:rPr>
  </w:style>
  <w:style w:type="character" w:styleId="1944">
    <w:name w:val="endnote reference"/>
    <w:basedOn w:val="1785"/>
    <w:uiPriority w:val="99"/>
    <w:semiHidden/>
    <w:unhideWhenUsed/>
    <w:rPr>
      <w:vertAlign w:val="superscript"/>
    </w:rPr>
  </w:style>
  <w:style w:type="paragraph" w:styleId="1945">
    <w:name w:val="toc 1"/>
    <w:basedOn w:val="1775"/>
    <w:next w:val="1775"/>
    <w:uiPriority w:val="39"/>
    <w:unhideWhenUsed/>
    <w:pPr>
      <w:spacing w:after="57"/>
    </w:pPr>
  </w:style>
  <w:style w:type="paragraph" w:styleId="1946">
    <w:name w:val="toc 2"/>
    <w:basedOn w:val="1775"/>
    <w:next w:val="1775"/>
    <w:uiPriority w:val="39"/>
    <w:unhideWhenUsed/>
    <w:pPr>
      <w:ind w:left="283"/>
      <w:spacing w:after="57"/>
    </w:pPr>
  </w:style>
  <w:style w:type="paragraph" w:styleId="1947">
    <w:name w:val="toc 3"/>
    <w:basedOn w:val="1775"/>
    <w:next w:val="1775"/>
    <w:uiPriority w:val="39"/>
    <w:unhideWhenUsed/>
    <w:pPr>
      <w:ind w:left="567"/>
      <w:spacing w:after="57"/>
    </w:pPr>
  </w:style>
  <w:style w:type="paragraph" w:styleId="1948">
    <w:name w:val="toc 4"/>
    <w:basedOn w:val="1775"/>
    <w:next w:val="1775"/>
    <w:uiPriority w:val="39"/>
    <w:unhideWhenUsed/>
    <w:pPr>
      <w:ind w:left="850"/>
      <w:spacing w:after="57"/>
    </w:pPr>
  </w:style>
  <w:style w:type="paragraph" w:styleId="1949">
    <w:name w:val="toc 5"/>
    <w:basedOn w:val="1775"/>
    <w:next w:val="1775"/>
    <w:uiPriority w:val="39"/>
    <w:unhideWhenUsed/>
    <w:pPr>
      <w:ind w:left="1134"/>
      <w:spacing w:after="57"/>
    </w:pPr>
  </w:style>
  <w:style w:type="paragraph" w:styleId="1950">
    <w:name w:val="toc 6"/>
    <w:basedOn w:val="1775"/>
    <w:next w:val="1775"/>
    <w:uiPriority w:val="39"/>
    <w:unhideWhenUsed/>
    <w:pPr>
      <w:ind w:left="1417"/>
      <w:spacing w:after="57"/>
    </w:pPr>
  </w:style>
  <w:style w:type="paragraph" w:styleId="1951">
    <w:name w:val="toc 7"/>
    <w:basedOn w:val="1775"/>
    <w:next w:val="1775"/>
    <w:uiPriority w:val="39"/>
    <w:unhideWhenUsed/>
    <w:pPr>
      <w:ind w:left="1701"/>
      <w:spacing w:after="57"/>
    </w:pPr>
  </w:style>
  <w:style w:type="paragraph" w:styleId="1952">
    <w:name w:val="toc 8"/>
    <w:basedOn w:val="1775"/>
    <w:next w:val="1775"/>
    <w:uiPriority w:val="39"/>
    <w:unhideWhenUsed/>
    <w:pPr>
      <w:ind w:left="1984"/>
      <w:spacing w:after="57"/>
    </w:pPr>
  </w:style>
  <w:style w:type="paragraph" w:styleId="1953">
    <w:name w:val="toc 9"/>
    <w:basedOn w:val="1775"/>
    <w:next w:val="1775"/>
    <w:uiPriority w:val="39"/>
    <w:unhideWhenUsed/>
    <w:pPr>
      <w:ind w:left="2268"/>
      <w:spacing w:after="57"/>
    </w:pPr>
  </w:style>
  <w:style w:type="paragraph" w:styleId="1954">
    <w:name w:val="TOC Heading"/>
    <w:uiPriority w:val="39"/>
    <w:unhideWhenUsed/>
  </w:style>
  <w:style w:type="paragraph" w:styleId="1955">
    <w:name w:val="table of figures"/>
    <w:basedOn w:val="1775"/>
    <w:next w:val="1775"/>
    <w:uiPriority w:val="99"/>
    <w:unhideWhenUsed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6DB48CB91C0478518EBD511FC5B02" ma:contentTypeVersion="0" ma:contentTypeDescription="Создание документа." ma:contentTypeScope="" ma:versionID="490a0e202f109b7615c46690cfb4e0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08AFD-12D6-47A0-BCA5-C8C187788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CE247B-DA20-4D4D-BBDA-D79B196C32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57AD34-CA54-4A3D-B75A-40E44ACE51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919050-9D90-4249-9C48-3EE9469205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"ЖСИ"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creator>ЖилСтройИндустрия</dc:creator>
  <cp:lastModifiedBy>mirzakl@headoffice.psbank.local</cp:lastModifiedBy>
  <cp:revision>42</cp:revision>
  <dcterms:created xsi:type="dcterms:W3CDTF">2024-11-05T09:56:00Z</dcterms:created>
  <dcterms:modified xsi:type="dcterms:W3CDTF">2025-12-18T10:47:58Z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