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1F904B36" w:rsidR="00786AF2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F3170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№</w:t>
      </w:r>
      <w:r w:rsidR="00F31706" w:rsidRPr="00F31706">
        <w:rPr>
          <w:rFonts w:ascii="Times New Roman" w:eastAsia="Times New Roman" w:hAnsi="Times New Roman"/>
          <w:b/>
          <w:kern w:val="1"/>
          <w:sz w:val="20"/>
          <w:szCs w:val="20"/>
          <w:lang w:val="en-US" w:eastAsia="ar-SA"/>
        </w:rPr>
        <w:t>RD</w:t>
      </w:r>
      <w:r w:rsidR="00BE5BF3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 (</w:t>
      </w:r>
      <w:r w:rsidR="00C03081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273</w:t>
      </w:r>
      <w:r w:rsidR="00E7774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77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)-</w:t>
      </w:r>
      <w:r w:rsidR="002D272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К</w:t>
      </w:r>
      <w:r w:rsidR="00E7774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2</w:t>
      </w:r>
      <w:r w:rsidR="00786AF2" w:rsidRPr="00786AF2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</w:p>
    <w:p w14:paraId="3F908EB5" w14:textId="1F432B4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5194"/>
      </w:tblGrid>
      <w:tr w:rsidR="00B80479" w:rsidRPr="00DD26A5" w14:paraId="4ECA2394" w14:textId="77777777" w:rsidTr="00AF61A1">
        <w:tc>
          <w:tcPr>
            <w:tcW w:w="4926" w:type="dxa"/>
          </w:tcPr>
          <w:p w14:paraId="77F50E6B" w14:textId="02516B63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г. </w:t>
            </w:r>
            <w:r w:rsidR="0093750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247" w:type="dxa"/>
          </w:tcPr>
          <w:p w14:paraId="0F37126A" w14:textId="7B09F470" w:rsidR="00B80479" w:rsidRPr="00DD26A5" w:rsidRDefault="002D2722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2D2722">
              <w:rPr>
                <w:rFonts w:ascii="Times New Roman" w:eastAsia="Times New Roman" w:hAnsi="Times New Roman"/>
                <w:sz w:val="20"/>
                <w:szCs w:val="20"/>
              </w:rPr>
              <w:t>«____» ______________ 2025 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ED0A387" w:rsidR="00786AF2" w:rsidRPr="0089318A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КУБАНЬСТРОЙАГРОРЕСУРС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 (ООО  СЗ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КСАР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») (ИНН 23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08183431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 КПП 231101001  ОГРН 1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112308009550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89318A">
        <w:rPr>
          <w:rFonts w:ascii="Times New Roman" w:hAnsi="Times New Roman"/>
          <w:b/>
          <w:sz w:val="20"/>
          <w:szCs w:val="20"/>
          <w:lang w:eastAsia="ru-RU"/>
        </w:rPr>
        <w:t>в лице Управляющей компании ОБЩЕСТВО С ОГРАНИЧЕННОЙ ОТВЕТСТВЕННОСТЬЮ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2A2E77" w:rsidRPr="002A2E77">
        <w:t xml:space="preserve"> </w:t>
      </w:r>
      <w:r w:rsidR="002A2E77" w:rsidRPr="002A2E77">
        <w:rPr>
          <w:rFonts w:ascii="Times New Roman" w:hAnsi="Times New Roman"/>
          <w:b/>
          <w:sz w:val="20"/>
          <w:szCs w:val="20"/>
          <w:lang w:eastAsia="ru-RU"/>
        </w:rPr>
        <w:t>(ОГРН: 1232300065449, ИНН: 2311326640, КПП: 231101001)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генеральный  директор  Пономаренко Александр  Владимирович, действующий на основании 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 и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Д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оговора о передаче полномочий ЕИО управляющей компании  от 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1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8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.0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5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.202</w:t>
      </w:r>
      <w:r w:rsidR="00FE011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4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г.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57D269F9" w:rsidR="00B80479" w:rsidRPr="0089318A" w:rsidRDefault="002D2722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гр.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 xml:space="preserve">, 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="00786AF2" w:rsidRPr="0089318A">
        <w:rPr>
          <w:rFonts w:ascii="Times New Roman" w:eastAsia="Times New Roman" w:hAnsi="Times New Roman"/>
          <w:b/>
          <w:bCs/>
          <w:sz w:val="20"/>
          <w:szCs w:val="20"/>
        </w:rPr>
        <w:t>«Участник долевого строительства»,</w:t>
      </w:r>
      <w:r w:rsidR="00786AF2" w:rsidRPr="0089318A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89318A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318A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318A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0ED87D5D" w:rsidR="00B80479" w:rsidRPr="0089318A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</w:t>
      </w:r>
      <w:r w:rsidR="002A2E77" w:rsidRPr="002A2E7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КСАР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»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4C58B19" w14:textId="63418333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89318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Литер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7A35BA" w:rsidRPr="007A35BA">
        <w:rPr>
          <w:rFonts w:ascii="Times New Roman" w:eastAsia="Times New Roman" w:hAnsi="Times New Roman"/>
          <w:b/>
          <w:bCs/>
          <w:kern w:val="2"/>
          <w:sz w:val="20"/>
          <w:szCs w:val="20"/>
        </w:rPr>
        <w:t>К</w:t>
      </w:r>
      <w:r w:rsidR="00E77740">
        <w:rPr>
          <w:rFonts w:ascii="Times New Roman" w:eastAsia="Times New Roman" w:hAnsi="Times New Roman"/>
          <w:b/>
          <w:bCs/>
          <w:kern w:val="2"/>
          <w:sz w:val="20"/>
          <w:szCs w:val="20"/>
        </w:rPr>
        <w:t>2</w:t>
      </w:r>
      <w:r w:rsidR="007A35B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входящий в состав Жилого  комплекса, расположенного в </w:t>
      </w:r>
      <w:bookmarkStart w:id="1" w:name="_Hlk193456161"/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г. 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Краснодар</w:t>
      </w:r>
      <w:bookmarkEnd w:id="1"/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</w:t>
      </w:r>
      <w:bookmarkStart w:id="2" w:name="_Hlk201594858"/>
      <w:r w:rsidRPr="0089318A">
        <w:rPr>
          <w:rFonts w:ascii="Times New Roman" w:eastAsia="Times New Roman" w:hAnsi="Times New Roman"/>
          <w:kern w:val="2"/>
          <w:sz w:val="20"/>
          <w:szCs w:val="20"/>
        </w:rPr>
        <w:t>на земельн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ом</w:t>
      </w:r>
      <w:r w:rsidR="007104C0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участк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площадью </w:t>
      </w:r>
      <w:r w:rsidR="00E77740">
        <w:rPr>
          <w:rFonts w:ascii="Times New Roman" w:eastAsia="Times New Roman" w:hAnsi="Times New Roman"/>
          <w:kern w:val="2"/>
          <w:sz w:val="20"/>
          <w:szCs w:val="20"/>
        </w:rPr>
        <w:t>3 066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кв.м. с кадастровым номером: 23:4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:011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8001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: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>273</w:t>
      </w:r>
      <w:r w:rsidR="00E77740">
        <w:rPr>
          <w:rFonts w:ascii="Times New Roman" w:eastAsia="Times New Roman" w:hAnsi="Times New Roman"/>
          <w:kern w:val="2"/>
          <w:sz w:val="20"/>
          <w:szCs w:val="20"/>
        </w:rPr>
        <w:t>77</w:t>
      </w:r>
      <w:r w:rsidR="002A2E77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находящ</w:t>
      </w:r>
      <w:r w:rsidR="001B314D">
        <w:rPr>
          <w:rFonts w:ascii="Times New Roman" w:eastAsia="Times New Roman" w:hAnsi="Times New Roman"/>
          <w:kern w:val="2"/>
          <w:sz w:val="20"/>
          <w:szCs w:val="20"/>
        </w:rPr>
        <w:t>ем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 xml:space="preserve">ся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по адресу:  </w:t>
      </w:r>
      <w:bookmarkEnd w:id="2"/>
      <w:r w:rsidR="00942759" w:rsidRPr="00942759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</w:t>
      </w:r>
      <w:r w:rsidR="003566BD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E77740">
        <w:rPr>
          <w:rFonts w:ascii="Times New Roman" w:eastAsia="Times New Roman" w:hAnsi="Times New Roman"/>
          <w:kern w:val="2"/>
          <w:sz w:val="20"/>
          <w:szCs w:val="20"/>
        </w:rPr>
        <w:t>5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, принадлежащ</w:t>
      </w:r>
      <w:r w:rsidR="00C54F26">
        <w:rPr>
          <w:rFonts w:ascii="Times New Roman" w:eastAsia="Times New Roman" w:hAnsi="Times New Roman"/>
          <w:kern w:val="2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м Застройщику на праве собственности  на основании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Решения единственного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учредителя (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участника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>)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0F5194"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№б/н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от 10.07.2023г</w:t>
      </w:r>
      <w:r w:rsid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497612D3" w14:textId="565F62D8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количество этажей: </w:t>
      </w:r>
      <w:r w:rsidR="00FA12A9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921EDE">
        <w:rPr>
          <w:rFonts w:ascii="Times New Roman" w:eastAsia="Times New Roman" w:hAnsi="Times New Roman"/>
          <w:kern w:val="2"/>
          <w:sz w:val="20"/>
          <w:szCs w:val="20"/>
        </w:rPr>
        <w:t>/4</w:t>
      </w:r>
      <w:r w:rsidR="00FA12A9">
        <w:rPr>
          <w:rFonts w:ascii="Times New Roman" w:eastAsia="Times New Roman" w:hAnsi="Times New Roman"/>
          <w:kern w:val="2"/>
          <w:sz w:val="20"/>
          <w:szCs w:val="20"/>
        </w:rPr>
        <w:t>,</w:t>
      </w:r>
      <w:r w:rsidR="0094275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E77740">
        <w:rPr>
          <w:rFonts w:ascii="Times New Roman" w:eastAsia="Times New Roman" w:hAnsi="Times New Roman"/>
          <w:kern w:val="2"/>
          <w:sz w:val="20"/>
          <w:szCs w:val="20"/>
        </w:rPr>
        <w:t>4 370,3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51BD1333" w14:textId="6D00B931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0F5194">
        <w:rPr>
          <w:rFonts w:ascii="Times New Roman" w:eastAsia="Times New Roman" w:hAnsi="Times New Roman"/>
          <w:kern w:val="2"/>
          <w:sz w:val="20"/>
          <w:szCs w:val="20"/>
        </w:rPr>
        <w:t xml:space="preserve"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</w:t>
      </w:r>
      <w:r w:rsidR="00942759" w:rsidRPr="000F5194">
        <w:rPr>
          <w:rFonts w:ascii="Times New Roman" w:eastAsia="Times New Roman" w:hAnsi="Times New Roman"/>
          <w:kern w:val="2"/>
          <w:sz w:val="20"/>
          <w:szCs w:val="20"/>
        </w:rPr>
        <w:t>7</w:t>
      </w:r>
      <w:r w:rsidRPr="000F5194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5D96709B" w14:textId="7B9E1641" w:rsidR="00786AF2" w:rsidRPr="0089318A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="00E77740">
        <w:rPr>
          <w:rFonts w:ascii="Times New Roman" w:eastAsia="Times New Roman" w:hAnsi="Times New Roman"/>
          <w:kern w:val="2"/>
          <w:sz w:val="20"/>
          <w:szCs w:val="20"/>
        </w:rPr>
        <w:t>0</w:t>
      </w:r>
      <w:r w:rsidR="005224D2">
        <w:rPr>
          <w:rFonts w:ascii="Times New Roman" w:eastAsia="Times New Roman" w:hAnsi="Times New Roman"/>
          <w:kern w:val="2"/>
          <w:sz w:val="20"/>
          <w:szCs w:val="20"/>
        </w:rPr>
        <w:t>5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-2024 от 2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12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.2024г., выдано </w:t>
      </w:r>
      <w:r w:rsidR="00937505">
        <w:rPr>
          <w:rFonts w:ascii="Times New Roman" w:eastAsia="Times New Roman" w:hAnsi="Times New Roman"/>
          <w:kern w:val="2"/>
          <w:sz w:val="20"/>
          <w:szCs w:val="20"/>
        </w:rPr>
        <w:t>Департаментом архитектуры и градостроительства администрации муниципального образования г. Краснодар</w:t>
      </w:r>
      <w:r w:rsidRPr="0089318A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68470548" w14:textId="3FB7522C" w:rsidR="00B15674" w:rsidRDefault="00786AF2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1.4. </w:t>
      </w:r>
      <w:r w:rsidRPr="00937505"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</w:rPr>
        <w:t xml:space="preserve">Объект долевого строительства - </w:t>
      </w:r>
    </w:p>
    <w:p w14:paraId="1B365779" w14:textId="5C0FE167" w:rsidR="00262452" w:rsidRPr="0089318A" w:rsidRDefault="0036760E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318A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4B12F36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740E5A8" w14:textId="77777777" w:rsidR="00FA12A9" w:rsidRDefault="00FA12A9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81CAEB7" w14:textId="3110A96F" w:rsidR="00262452" w:rsidRPr="0089318A" w:rsidRDefault="00262452" w:rsidP="00B15674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318A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318A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318A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318A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 xml:space="preserve">дома и (или) иного объекта недвижимости, Застройщик и Участник долевого строительства обязаны заключить </w:t>
      </w:r>
      <w:r w:rsidR="00D56993"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4C4839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1DBD1DB6" w:rsidR="00E16A57" w:rsidRPr="0089318A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>земельно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участк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площадью 7170 кв.м. с кадастровым номером: 23:43:0118001:27364, находяще</w:t>
      </w:r>
      <w:r w:rsidR="001B314D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1B314D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ся по адресу:  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Краснодарский край, г. Краснодар, ул. Пригородная, квартал жилой застройки №</w:t>
      </w:r>
      <w:r w:rsidR="00207099">
        <w:rPr>
          <w:rFonts w:ascii="Times New Roman" w:hAnsi="Times New Roman"/>
          <w:sz w:val="20"/>
          <w:szCs w:val="20"/>
          <w:shd w:val="clear" w:color="auto" w:fill="FFFFFF"/>
        </w:rPr>
        <w:t>1</w:t>
      </w:r>
      <w:r w:rsidR="00937505" w:rsidRPr="004C4839">
        <w:rPr>
          <w:rFonts w:ascii="Times New Roman" w:hAnsi="Times New Roman"/>
          <w:sz w:val="20"/>
          <w:szCs w:val="20"/>
          <w:shd w:val="clear" w:color="auto" w:fill="FFFFFF"/>
        </w:rPr>
        <w:t>6</w:t>
      </w: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89318A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89318A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89318A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  <w:r w:rsidR="00042E83" w:rsidRPr="0089318A">
        <w:rPr>
          <w:rFonts w:ascii="Times New Roman" w:hAnsi="Times New Roman"/>
          <w:kern w:val="1"/>
          <w:sz w:val="20"/>
          <w:szCs w:val="20"/>
        </w:rPr>
        <w:t>4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89318A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89318A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89318A">
        <w:rPr>
          <w:rFonts w:ascii="Times New Roman" w:hAnsi="Times New Roman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6B631D70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D90633B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A60B807" w:rsidR="0055526D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318A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</w:t>
      </w:r>
      <w:r w:rsidR="00937505" w:rsidRPr="00937505">
        <w:rPr>
          <w:rFonts w:ascii="Times New Roman" w:eastAsia="Times New Roman" w:hAnsi="Times New Roman"/>
          <w:b/>
          <w:sz w:val="20"/>
          <w:szCs w:val="20"/>
        </w:rPr>
        <w:t>КУБАНЬСТРОЙАГРОРЕСУРС</w:t>
      </w:r>
      <w:r w:rsidRPr="0089318A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93B886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715F2D8B" w:rsidR="00CD6C8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3.2. Цена Договора (депонируемая сумма) </w:t>
      </w:r>
      <w:r w:rsidRPr="0077339E">
        <w:rPr>
          <w:rFonts w:ascii="Times New Roman" w:hAnsi="Times New Roman"/>
          <w:sz w:val="20"/>
          <w:szCs w:val="20"/>
        </w:rPr>
        <w:t>составляет</w:t>
      </w:r>
      <w:r w:rsidR="00FA12A9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77339E">
        <w:rPr>
          <w:rFonts w:ascii="Times New Roman" w:hAnsi="Times New Roman"/>
          <w:sz w:val="20"/>
          <w:szCs w:val="20"/>
        </w:rPr>
        <w:t>.</w:t>
      </w:r>
      <w:r w:rsidRPr="0089318A">
        <w:rPr>
          <w:rFonts w:ascii="Times New Roman" w:hAnsi="Times New Roman"/>
          <w:sz w:val="20"/>
          <w:szCs w:val="20"/>
        </w:rPr>
        <w:t xml:space="preserve">  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</w:t>
      </w:r>
      <w:r w:rsidRPr="005D56DC">
        <w:rPr>
          <w:rFonts w:ascii="Times New Roman" w:hAnsi="Times New Roman"/>
          <w:sz w:val="20"/>
          <w:szCs w:val="20"/>
        </w:rPr>
        <w:t xml:space="preserve">средств на счет эскроу </w:t>
      </w:r>
      <w:r w:rsidR="0077339E" w:rsidRPr="005D56DC">
        <w:rPr>
          <w:rFonts w:ascii="Times New Roman" w:hAnsi="Times New Roman"/>
          <w:sz w:val="20"/>
          <w:szCs w:val="20"/>
        </w:rPr>
        <w:t>открытый</w:t>
      </w:r>
      <w:r w:rsidR="0077339E">
        <w:rPr>
          <w:rFonts w:ascii="Times New Roman" w:hAnsi="Times New Roman"/>
          <w:sz w:val="20"/>
          <w:szCs w:val="20"/>
        </w:rPr>
        <w:t xml:space="preserve"> в</w:t>
      </w:r>
      <w:r w:rsidR="00CD6C8D">
        <w:rPr>
          <w:rFonts w:ascii="Times New Roman" w:hAnsi="Times New Roman"/>
          <w:sz w:val="20"/>
          <w:szCs w:val="20"/>
        </w:rPr>
        <w:t xml:space="preserve"> ПАО Сбербанк в срок </w:t>
      </w:r>
      <w:r w:rsidR="00CD6C8D" w:rsidRPr="007104C0">
        <w:rPr>
          <w:rFonts w:ascii="Times New Roman" w:hAnsi="Times New Roman"/>
          <w:sz w:val="20"/>
          <w:szCs w:val="20"/>
        </w:rPr>
        <w:t>до 3</w:t>
      </w:r>
      <w:r w:rsidR="007104C0" w:rsidRPr="007104C0">
        <w:rPr>
          <w:rFonts w:ascii="Times New Roman" w:hAnsi="Times New Roman"/>
          <w:sz w:val="20"/>
          <w:szCs w:val="20"/>
        </w:rPr>
        <w:t>0</w:t>
      </w:r>
      <w:r w:rsidR="00CD6C8D" w:rsidRPr="007104C0">
        <w:rPr>
          <w:rFonts w:ascii="Times New Roman" w:hAnsi="Times New Roman"/>
          <w:sz w:val="20"/>
          <w:szCs w:val="20"/>
        </w:rPr>
        <w:t>.</w:t>
      </w:r>
      <w:r w:rsidR="007104C0" w:rsidRPr="007104C0">
        <w:rPr>
          <w:rFonts w:ascii="Times New Roman" w:hAnsi="Times New Roman"/>
          <w:sz w:val="20"/>
          <w:szCs w:val="20"/>
        </w:rPr>
        <w:t>12</w:t>
      </w:r>
      <w:r w:rsidR="00CD6C8D" w:rsidRPr="007104C0">
        <w:rPr>
          <w:rFonts w:ascii="Times New Roman" w:hAnsi="Times New Roman"/>
          <w:sz w:val="20"/>
          <w:szCs w:val="20"/>
        </w:rPr>
        <w:t>.202</w:t>
      </w:r>
      <w:r w:rsidR="00937505" w:rsidRPr="007104C0">
        <w:rPr>
          <w:rFonts w:ascii="Times New Roman" w:hAnsi="Times New Roman"/>
          <w:sz w:val="20"/>
          <w:szCs w:val="20"/>
        </w:rPr>
        <w:t>8</w:t>
      </w:r>
      <w:r w:rsidR="00CD6C8D" w:rsidRPr="007104C0">
        <w:rPr>
          <w:rFonts w:ascii="Times New Roman" w:hAnsi="Times New Roman"/>
          <w:sz w:val="20"/>
          <w:szCs w:val="20"/>
        </w:rPr>
        <w:t xml:space="preserve"> г.</w:t>
      </w:r>
      <w:r w:rsidR="00CD6C8D">
        <w:rPr>
          <w:rFonts w:ascii="Times New Roman" w:hAnsi="Times New Roman"/>
          <w:sz w:val="20"/>
          <w:szCs w:val="20"/>
        </w:rPr>
        <w:t xml:space="preserve">  </w:t>
      </w:r>
      <w:r w:rsidRPr="0089318A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89318A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89318A">
        <w:rPr>
          <w:rFonts w:ascii="Times New Roman" w:hAnsi="Times New Roman"/>
          <w:sz w:val="20"/>
          <w:szCs w:val="20"/>
        </w:rPr>
        <w:t>эс</w:t>
      </w:r>
      <w:r w:rsidRPr="0089318A">
        <w:rPr>
          <w:rFonts w:ascii="Times New Roman" w:hAnsi="Times New Roman"/>
          <w:sz w:val="20"/>
          <w:szCs w:val="20"/>
        </w:rPr>
        <w:t xml:space="preserve">кроу </w:t>
      </w:r>
      <w:r w:rsidR="0089318A" w:rsidRPr="0089318A">
        <w:rPr>
          <w:rFonts w:ascii="Times New Roman" w:hAnsi="Times New Roman"/>
          <w:sz w:val="20"/>
          <w:szCs w:val="20"/>
        </w:rPr>
        <w:t>счет, несет</w:t>
      </w:r>
      <w:r w:rsidRPr="0089318A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lastRenderedPageBreak/>
        <w:t xml:space="preserve">3.3.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89318A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89318A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89318A">
        <w:rPr>
          <w:rFonts w:ascii="Times New Roman" w:eastAsia="Times New Roman" w:hAnsi="Times New Roman"/>
          <w:bCs/>
          <w:sz w:val="20"/>
          <w:szCs w:val="20"/>
        </w:rPr>
        <w:t>4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89318A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89318A">
        <w:rPr>
          <w:rFonts w:ascii="Times New Roman" w:hAnsi="Times New Roman"/>
          <w:kern w:val="1"/>
          <w:sz w:val="20"/>
          <w:szCs w:val="20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89318A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89318A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>менее</w:t>
      </w:r>
      <w:r w:rsidRPr="0089318A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89318A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89318A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89318A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89318A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</w:t>
      </w:r>
      <w:r w:rsidR="00814C71" w:rsidRPr="0089318A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89318A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89318A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>5.1.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89318A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89318A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37182554" w:rsidR="007F390F" w:rsidRPr="0089318A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89318A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7104C0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12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37505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8</w:t>
      </w:r>
      <w:r w:rsidR="0055526D" w:rsidRPr="007104C0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7104C0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89318A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89318A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89318A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9.1.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89318A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89318A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89318A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89318A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89318A">
        <w:rPr>
          <w:rFonts w:ascii="Times New Roman" w:hAnsi="Times New Roman"/>
          <w:kern w:val="1"/>
          <w:sz w:val="20"/>
          <w:szCs w:val="20"/>
        </w:rPr>
        <w:t>Договор до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89318A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89318A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89318A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89318A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89318A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89318A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89318A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89318A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</w:rPr>
        <w:t>7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89318A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89318A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89318A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A1772C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18"/>
          <w:szCs w:val="18"/>
          <w:lang w:eastAsia="ar-SA"/>
        </w:rPr>
      </w:pP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12.</w:t>
      </w:r>
      <w:r w:rsidRPr="00A1772C">
        <w:rPr>
          <w:rFonts w:ascii="Times New Roman" w:eastAsia="Times New Roman" w:hAnsi="Times New Roman"/>
          <w:kern w:val="1"/>
          <w:sz w:val="18"/>
          <w:szCs w:val="18"/>
          <w:lang w:eastAsia="ar-SA"/>
        </w:rPr>
        <w:t xml:space="preserve"> </w:t>
      </w: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Адреса, платежные реквизиты и подписи Сторон</w:t>
      </w:r>
    </w:p>
    <w:p w14:paraId="7636D09F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Застройщик: </w:t>
      </w:r>
    </w:p>
    <w:p w14:paraId="7E5CDE89" w14:textId="10B95037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Общество с ограниченной ответственностью СПЕЦИАЛИЗИРОВАННЫЙ ЗАСТРОЙЩИК «КУБАНЬСТРОЙАГРОРЕСУРС» (ООО СЗ «КСАР») </w:t>
      </w:r>
    </w:p>
    <w:p w14:paraId="088A4195" w14:textId="6CE80AE2" w:rsidR="00D652D6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A1772C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(ИНН 2308183431 КПП 231101001 ОГРН 1112308009550), </w:t>
      </w:r>
    </w:p>
    <w:p w14:paraId="46A60135" w14:textId="1D314C70" w:rsidR="0089318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Юридический адрес: 350012</w:t>
      </w:r>
      <w:r w:rsidRPr="00A1772C">
        <w:rPr>
          <w:rFonts w:ascii="Times New Roman" w:hAnsi="Times New Roman"/>
          <w:i/>
          <w:iCs/>
          <w:sz w:val="18"/>
          <w:szCs w:val="18"/>
        </w:rPr>
        <w:t>, КРАСНОДАРСКИЙ КРАЙ, Г.О. ГОРОД КРАСНОДАР, Г КРАСНОДАР, УЛ ЗАПОЛЯРНАЯ, Д. 35, К. 8, ПОМЕЩ. 15</w:t>
      </w:r>
    </w:p>
    <w:p w14:paraId="6989217F" w14:textId="4BE5D98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Расчётный счёт 40702810</w:t>
      </w:r>
      <w:r w:rsidR="00A1772C"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430000052589</w:t>
      </w: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</w:t>
      </w:r>
    </w:p>
    <w:p w14:paraId="4CD6FDC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БИК 040349602   Банк КРАСНОДАРСКОЕ ОТДЕЛЕНИЕ N8619 ПАО СБЕРБАНК</w:t>
      </w:r>
    </w:p>
    <w:p w14:paraId="6ED25956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Корр. счёт 30101.810.1.00000000602</w:t>
      </w:r>
    </w:p>
    <w:p w14:paraId="16BA323A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В лице Управляющей компании ООО «СЛУЖБА УПРАВЛЕНИЯ ПРОЕКТАМИ"</w:t>
      </w:r>
    </w:p>
    <w:p w14:paraId="423CA24A" w14:textId="64CEAABF" w:rsidR="00516DEA" w:rsidRPr="00A1772C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Cs/>
          <w:i/>
          <w:iCs/>
          <w:kern w:val="2"/>
          <w:sz w:val="18"/>
          <w:szCs w:val="18"/>
        </w:rPr>
        <w:t>(ОГРН: 1232300065449, ИНН: 2311326640, КПП: 231101001)</w:t>
      </w:r>
    </w:p>
    <w:p w14:paraId="0025A9D3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Генеральный директор ______________________  Пономаренко А.В.</w:t>
      </w:r>
    </w:p>
    <w:p w14:paraId="3FF0B37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10216500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18"/>
          <w:szCs w:val="18"/>
        </w:rPr>
      </w:pPr>
      <w:r w:rsidRPr="00A1772C">
        <w:rPr>
          <w:rFonts w:ascii="Times New Roman" w:hAnsi="Times New Roman"/>
          <w:b/>
          <w:kern w:val="2"/>
          <w:sz w:val="18"/>
          <w:szCs w:val="18"/>
        </w:rPr>
        <w:t xml:space="preserve">Участник долевого строительства: </w:t>
      </w:r>
    </w:p>
    <w:p w14:paraId="6171DA43" w14:textId="6AEE1E20" w:rsidR="00814C71" w:rsidRPr="00DD26A5" w:rsidRDefault="0055526D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A1772C">
        <w:rPr>
          <w:rFonts w:ascii="Times New Roman" w:eastAsia="Times New Roman" w:hAnsi="Times New Roman"/>
          <w:b/>
          <w:i/>
          <w:iCs/>
          <w:color w:val="000000"/>
          <w:kern w:val="2"/>
          <w:sz w:val="18"/>
          <w:szCs w:val="18"/>
          <w:lang w:eastAsia="ar-SA"/>
        </w:rPr>
        <w:br w:type="page"/>
      </w:r>
      <w:r w:rsidR="00814C71"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="00814C71"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="00814C71"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546D39E9" w:rsidR="00814C71" w:rsidRDefault="00814C71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A39AFC0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05A79B9A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BCD4677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1C3A4209" w14:textId="77777777" w:rsidR="00FA12A9" w:rsidRDefault="00FA12A9" w:rsidP="00814C71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14:paraId="71246C4E" w14:textId="77777777" w:rsidR="00FA12A9" w:rsidRPr="00DD26A5" w:rsidRDefault="00FA12A9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D3221BF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A177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КУБАНЬСТРОЙАГРОРЕСУРС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335FA4B8" w14:textId="77777777" w:rsidR="0055526D" w:rsidRPr="00516DEA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0144" w14:textId="77777777" w:rsidR="00BA494C" w:rsidRDefault="00BA494C">
      <w:pPr>
        <w:spacing w:after="0" w:line="240" w:lineRule="auto"/>
      </w:pPr>
      <w:r>
        <w:separator/>
      </w:r>
    </w:p>
  </w:endnote>
  <w:endnote w:type="continuationSeparator" w:id="0">
    <w:p w14:paraId="682B1963" w14:textId="77777777" w:rsidR="00BA494C" w:rsidRDefault="00BA494C">
      <w:pPr>
        <w:spacing w:after="0" w:line="240" w:lineRule="auto"/>
      </w:pPr>
      <w:r>
        <w:continuationSeparator/>
      </w:r>
    </w:p>
  </w:endnote>
  <w:endnote w:type="continuationNotice" w:id="1">
    <w:p w14:paraId="54C76A41" w14:textId="77777777" w:rsidR="00BA494C" w:rsidRDefault="00BA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B37" w14:textId="77777777" w:rsidR="00BA494C" w:rsidRDefault="00BA494C">
      <w:pPr>
        <w:spacing w:after="0" w:line="240" w:lineRule="auto"/>
      </w:pPr>
      <w:r>
        <w:separator/>
      </w:r>
    </w:p>
  </w:footnote>
  <w:footnote w:type="continuationSeparator" w:id="0">
    <w:p w14:paraId="70ED4CD6" w14:textId="77777777" w:rsidR="00BA494C" w:rsidRDefault="00BA494C">
      <w:pPr>
        <w:spacing w:after="0" w:line="240" w:lineRule="auto"/>
      </w:pPr>
      <w:r>
        <w:continuationSeparator/>
      </w:r>
    </w:p>
  </w:footnote>
  <w:footnote w:type="continuationNotice" w:id="1">
    <w:p w14:paraId="3912FF37" w14:textId="77777777" w:rsidR="00BA494C" w:rsidRDefault="00BA49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461D"/>
    <w:rsid w:val="000E53B8"/>
    <w:rsid w:val="000F284E"/>
    <w:rsid w:val="000F44E3"/>
    <w:rsid w:val="000F5194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B314D"/>
    <w:rsid w:val="001B4420"/>
    <w:rsid w:val="001C7239"/>
    <w:rsid w:val="001E0906"/>
    <w:rsid w:val="001F28AD"/>
    <w:rsid w:val="00200DDF"/>
    <w:rsid w:val="002025C9"/>
    <w:rsid w:val="00207099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2E77"/>
    <w:rsid w:val="002A3336"/>
    <w:rsid w:val="002B2FB8"/>
    <w:rsid w:val="002C3496"/>
    <w:rsid w:val="002C3637"/>
    <w:rsid w:val="002D2722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1A83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0CFF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F1E72"/>
    <w:rsid w:val="004F606F"/>
    <w:rsid w:val="00501A0B"/>
    <w:rsid w:val="005101C1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45791"/>
    <w:rsid w:val="00554E5A"/>
    <w:rsid w:val="0055526D"/>
    <w:rsid w:val="0055765F"/>
    <w:rsid w:val="00563266"/>
    <w:rsid w:val="005679A5"/>
    <w:rsid w:val="005733C8"/>
    <w:rsid w:val="00586332"/>
    <w:rsid w:val="00590B68"/>
    <w:rsid w:val="005963B4"/>
    <w:rsid w:val="00597648"/>
    <w:rsid w:val="005A015C"/>
    <w:rsid w:val="005A384E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3E05"/>
    <w:rsid w:val="006E6120"/>
    <w:rsid w:val="00700D7D"/>
    <w:rsid w:val="007104C0"/>
    <w:rsid w:val="00710B21"/>
    <w:rsid w:val="007110A9"/>
    <w:rsid w:val="007140F0"/>
    <w:rsid w:val="00733F95"/>
    <w:rsid w:val="0073588C"/>
    <w:rsid w:val="0074503D"/>
    <w:rsid w:val="0074639C"/>
    <w:rsid w:val="007536F7"/>
    <w:rsid w:val="007615E7"/>
    <w:rsid w:val="00761DE0"/>
    <w:rsid w:val="007647E3"/>
    <w:rsid w:val="0077258B"/>
    <w:rsid w:val="0077339E"/>
    <w:rsid w:val="00775B07"/>
    <w:rsid w:val="00783962"/>
    <w:rsid w:val="00786AF2"/>
    <w:rsid w:val="007904B1"/>
    <w:rsid w:val="007A00AE"/>
    <w:rsid w:val="007A35BA"/>
    <w:rsid w:val="007A5A5A"/>
    <w:rsid w:val="007B30A2"/>
    <w:rsid w:val="007B3892"/>
    <w:rsid w:val="007B4108"/>
    <w:rsid w:val="007B4F12"/>
    <w:rsid w:val="007C41CE"/>
    <w:rsid w:val="007D2D4C"/>
    <w:rsid w:val="007D390E"/>
    <w:rsid w:val="007D7F56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57358"/>
    <w:rsid w:val="0086264A"/>
    <w:rsid w:val="00867DEF"/>
    <w:rsid w:val="00881560"/>
    <w:rsid w:val="00891427"/>
    <w:rsid w:val="0089318A"/>
    <w:rsid w:val="008963C9"/>
    <w:rsid w:val="008B1840"/>
    <w:rsid w:val="008B400A"/>
    <w:rsid w:val="008B4E75"/>
    <w:rsid w:val="008D5FB3"/>
    <w:rsid w:val="008D66FC"/>
    <w:rsid w:val="008E1FA1"/>
    <w:rsid w:val="008E4858"/>
    <w:rsid w:val="00901CA1"/>
    <w:rsid w:val="00915370"/>
    <w:rsid w:val="009209A9"/>
    <w:rsid w:val="00921EDE"/>
    <w:rsid w:val="00924C83"/>
    <w:rsid w:val="00925C7B"/>
    <w:rsid w:val="00925F78"/>
    <w:rsid w:val="00937505"/>
    <w:rsid w:val="00942759"/>
    <w:rsid w:val="00943D8F"/>
    <w:rsid w:val="00947982"/>
    <w:rsid w:val="00955249"/>
    <w:rsid w:val="009727EE"/>
    <w:rsid w:val="0098089D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6DEA"/>
    <w:rsid w:val="009E6FD3"/>
    <w:rsid w:val="009F1507"/>
    <w:rsid w:val="009F5127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1088"/>
    <w:rsid w:val="00B96842"/>
    <w:rsid w:val="00BA494C"/>
    <w:rsid w:val="00BC32E5"/>
    <w:rsid w:val="00BC4415"/>
    <w:rsid w:val="00BE5BF3"/>
    <w:rsid w:val="00BE6529"/>
    <w:rsid w:val="00BF0316"/>
    <w:rsid w:val="00C01F1A"/>
    <w:rsid w:val="00C03081"/>
    <w:rsid w:val="00C105BC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54F26"/>
    <w:rsid w:val="00C74400"/>
    <w:rsid w:val="00CA080F"/>
    <w:rsid w:val="00CB3E5D"/>
    <w:rsid w:val="00CC51E6"/>
    <w:rsid w:val="00CD33A4"/>
    <w:rsid w:val="00CD6C8D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F2BE4"/>
    <w:rsid w:val="00DF4DA6"/>
    <w:rsid w:val="00DF53D9"/>
    <w:rsid w:val="00E02D74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77740"/>
    <w:rsid w:val="00E83CC4"/>
    <w:rsid w:val="00E85882"/>
    <w:rsid w:val="00E85F2A"/>
    <w:rsid w:val="00E87723"/>
    <w:rsid w:val="00E93FF9"/>
    <w:rsid w:val="00EA3B83"/>
    <w:rsid w:val="00EA7A58"/>
    <w:rsid w:val="00EB586C"/>
    <w:rsid w:val="00EC1D2B"/>
    <w:rsid w:val="00EC6E22"/>
    <w:rsid w:val="00EC736F"/>
    <w:rsid w:val="00ED0D62"/>
    <w:rsid w:val="00ED71E5"/>
    <w:rsid w:val="00ED7A3C"/>
    <w:rsid w:val="00EF2B74"/>
    <w:rsid w:val="00EF4FE3"/>
    <w:rsid w:val="00EF6B9F"/>
    <w:rsid w:val="00F0188C"/>
    <w:rsid w:val="00F01BD9"/>
    <w:rsid w:val="00F05500"/>
    <w:rsid w:val="00F11682"/>
    <w:rsid w:val="00F1238A"/>
    <w:rsid w:val="00F147C1"/>
    <w:rsid w:val="00F22CC5"/>
    <w:rsid w:val="00F30536"/>
    <w:rsid w:val="00F31706"/>
    <w:rsid w:val="00F40006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84D81"/>
    <w:rsid w:val="00F92156"/>
    <w:rsid w:val="00F96F52"/>
    <w:rsid w:val="00F97BE8"/>
    <w:rsid w:val="00FA12A9"/>
    <w:rsid w:val="00FB598E"/>
    <w:rsid w:val="00FC6F5B"/>
    <w:rsid w:val="00FD6367"/>
    <w:rsid w:val="00FE011F"/>
    <w:rsid w:val="00FE4F7C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5973</Words>
  <Characters>34050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39944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Асилян Лолита Викторовна</cp:lastModifiedBy>
  <cp:revision>24</cp:revision>
  <cp:lastPrinted>2025-06-23T11:48:00Z</cp:lastPrinted>
  <dcterms:created xsi:type="dcterms:W3CDTF">2025-03-21T09:54:00Z</dcterms:created>
  <dcterms:modified xsi:type="dcterms:W3CDTF">2025-08-12T08:26:00Z</dcterms:modified>
</cp:coreProperties>
</file>