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C9856">
      <w:pPr>
        <w:keepNext/>
        <w:widowControl/>
        <w:spacing w:after="140" w:line="245" w:lineRule="auto"/>
        <w:ind w:firstLine="0"/>
        <w:jc w:val="center"/>
      </w:pPr>
      <w:r>
        <w:rPr>
          <w:rFonts w:ascii="Times New Roman" w:hAnsi="Times New Roman" w:eastAsia="Times New Roman" w:cs="Times New Roman"/>
          <w:b/>
          <w:i w:val="0"/>
          <w:color w:val="000000"/>
          <w:sz w:val="26"/>
        </w:rPr>
        <w:t xml:space="preserve">ДОГОВОР УЧАСТИЯ В ДОЛЕВОМ СТРОИТЕЛЬСТВЕ № </w:t>
      </w:r>
      <w:r>
        <w:rPr>
          <w:rFonts w:ascii="Times New Roman" w:hAnsi="Times New Roman" w:eastAsia="Times New Roman" w:cs="Times New Roman"/>
          <w:b/>
          <w:i w:val="0"/>
          <w:color w:val="000000"/>
          <w:sz w:val="26"/>
          <w:highlight w:val="yellow"/>
        </w:rPr>
        <w:t>[НОМЕР]</w:t>
      </w:r>
    </w:p>
    <w:tbl>
      <w:tblPr>
        <w:tblStyle w:val="12"/>
        <w:tblW w:w="0" w:type="auto"/>
        <w:jc w:val="center"/>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40" w:type="dxa"/>
          <w:left w:w="90" w:type="dxa"/>
          <w:bottom w:w="40" w:type="dxa"/>
          <w:right w:w="90" w:type="dxa"/>
        </w:tblCellMar>
      </w:tblPr>
      <w:tblGrid>
        <w:gridCol w:w="3969"/>
        <w:gridCol w:w="5953"/>
      </w:tblGrid>
      <w:tr w14:paraId="5B95B7EA">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969" w:type="dxa"/>
            <w:vAlign w:val="center"/>
          </w:tcPr>
          <w:p w14:paraId="7E7C9681">
            <w:pPr>
              <w:spacing w:after="20" w:line="240" w:lineRule="auto"/>
              <w:ind w:firstLine="0"/>
              <w:jc w:val="left"/>
            </w:pPr>
            <w:r>
              <w:rPr>
                <w:rFonts w:ascii="Times New Roman" w:hAnsi="Times New Roman" w:eastAsia="Times New Roman" w:cs="Times New Roman"/>
                <w:b w:val="0"/>
                <w:i w:val="0"/>
                <w:color w:val="000000"/>
                <w:sz w:val="21"/>
              </w:rPr>
              <w:t>Место заключения договора</w:t>
            </w:r>
          </w:p>
        </w:tc>
        <w:tc>
          <w:tcPr>
            <w:tcW w:w="5953" w:type="dxa"/>
            <w:vAlign w:val="center"/>
          </w:tcPr>
          <w:p w14:paraId="7E60B86C">
            <w:pPr>
              <w:spacing w:after="20" w:line="240" w:lineRule="auto"/>
              <w:ind w:firstLine="0"/>
              <w:jc w:val="left"/>
            </w:pPr>
            <w:r>
              <w:rPr>
                <w:rFonts w:ascii="Times New Roman" w:hAnsi="Times New Roman" w:eastAsia="Times New Roman" w:cs="Times New Roman"/>
                <w:b w:val="0"/>
                <w:i w:val="0"/>
                <w:color w:val="000000"/>
                <w:sz w:val="21"/>
              </w:rPr>
              <w:t>город Калининград</w:t>
            </w:r>
          </w:p>
        </w:tc>
      </w:tr>
      <w:tr w14:paraId="48D60DF4">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969" w:type="dxa"/>
            <w:vAlign w:val="center"/>
          </w:tcPr>
          <w:p w14:paraId="4F224187">
            <w:pPr>
              <w:spacing w:after="20" w:line="240" w:lineRule="auto"/>
              <w:ind w:firstLine="0"/>
              <w:jc w:val="left"/>
            </w:pPr>
            <w:r>
              <w:rPr>
                <w:rFonts w:ascii="Times New Roman" w:hAnsi="Times New Roman" w:eastAsia="Times New Roman" w:cs="Times New Roman"/>
                <w:b w:val="0"/>
                <w:i w:val="0"/>
                <w:color w:val="000000"/>
                <w:sz w:val="21"/>
              </w:rPr>
              <w:t>Дата заключения договора</w:t>
            </w:r>
          </w:p>
        </w:tc>
        <w:tc>
          <w:tcPr>
            <w:tcW w:w="5953" w:type="dxa"/>
            <w:vAlign w:val="center"/>
          </w:tcPr>
          <w:p w14:paraId="641DE372">
            <w:pPr>
              <w:spacing w:after="20" w:line="240" w:lineRule="auto"/>
              <w:ind w:firstLine="0"/>
              <w:jc w:val="left"/>
            </w:pPr>
            <w:r>
              <w:rPr>
                <w:rFonts w:ascii="Times New Roman" w:hAnsi="Times New Roman" w:eastAsia="Times New Roman" w:cs="Times New Roman"/>
                <w:b w:val="0"/>
                <w:i w:val="0"/>
                <w:color w:val="000000"/>
                <w:sz w:val="21"/>
                <w:highlight w:val="yellow"/>
              </w:rPr>
              <w:t>[ЗАПОЛНИТЬ: число, месяц, год]</w:t>
            </w:r>
          </w:p>
        </w:tc>
      </w:tr>
    </w:tbl>
    <w:p w14:paraId="3A3C7620">
      <w:pPr>
        <w:spacing w:before="0" w:after="0" w:line="40" w:lineRule="exact"/>
      </w:pPr>
    </w:p>
    <w:p w14:paraId="239AAECD">
      <w:pPr>
        <w:keepNext w:val="0"/>
        <w:widowControl/>
        <w:spacing w:after="60" w:line="245" w:lineRule="auto"/>
        <w:ind w:firstLine="340"/>
        <w:jc w:val="both"/>
        <w:rPr>
          <w:rFonts w:ascii="Times New Roman" w:hAnsi="Times New Roman" w:eastAsia="Times New Roman" w:cs="Times New Roman"/>
          <w:b w:val="0"/>
          <w:i w:val="0"/>
          <w:color w:val="000000"/>
          <w:sz w:val="22"/>
        </w:rPr>
      </w:pPr>
    </w:p>
    <w:p w14:paraId="360536D1">
      <w:pPr>
        <w:keepNext w:val="0"/>
        <w:widowControl/>
        <w:spacing w:after="60" w:line="245" w:lineRule="auto"/>
        <w:ind w:firstLine="340"/>
        <w:jc w:val="both"/>
      </w:pPr>
      <w:r>
        <w:rPr>
          <w:rFonts w:ascii="Times New Roman" w:hAnsi="Times New Roman" w:eastAsia="Times New Roman" w:cs="Times New Roman"/>
          <w:b w:val="0"/>
          <w:i w:val="0"/>
          <w:color w:val="000000"/>
          <w:sz w:val="22"/>
        </w:rPr>
        <w:t xml:space="preserve">Общество с ограниченной ответственностью «Специализированный застройщик «Альфа-Строй» (ООО «СЗ «Альфа-Строй»), ИНН 3900020781, КПП 390001001, ОГРН 1243900000695, адрес: 238326, Калининградская область, м.о. Зеленоградский, г. Зеленоградск, ул. Московская, д. 62, кв. XVIII из А, в лице генерального директора Тереховой Марии Михайловны, действующей на основании Устава, именуемое в дальнейшем «Застройщик», с одной стороны, и </w:t>
      </w:r>
      <w:r>
        <w:rPr>
          <w:rFonts w:ascii="Times New Roman" w:hAnsi="Times New Roman" w:eastAsia="Times New Roman" w:cs="Times New Roman"/>
          <w:b w:val="0"/>
          <w:i w:val="0"/>
          <w:color w:val="000000"/>
          <w:sz w:val="22"/>
          <w:highlight w:val="yellow"/>
        </w:rPr>
        <w:t>[ЗАПОЛНИТЬ: Ф. И. О. участника полностью]</w:t>
      </w:r>
      <w:r>
        <w:rPr>
          <w:rFonts w:ascii="Times New Roman" w:hAnsi="Times New Roman" w:eastAsia="Times New Roman" w:cs="Times New Roman"/>
          <w:b w:val="0"/>
          <w:i w:val="0"/>
          <w:color w:val="000000"/>
          <w:sz w:val="22"/>
        </w:rPr>
        <w:t xml:space="preserve">, </w:t>
      </w:r>
      <w:r>
        <w:rPr>
          <w:rFonts w:ascii="Times New Roman" w:hAnsi="Times New Roman" w:eastAsia="Times New Roman" w:cs="Times New Roman"/>
          <w:b w:val="0"/>
          <w:i w:val="0"/>
          <w:color w:val="000000"/>
          <w:sz w:val="22"/>
          <w:highlight w:val="yellow"/>
        </w:rPr>
        <w:t>[ЗАПОЛНИТЬ: дата и место рождения]</w:t>
      </w:r>
      <w:r>
        <w:rPr>
          <w:rFonts w:ascii="Times New Roman" w:hAnsi="Times New Roman" w:eastAsia="Times New Roman" w:cs="Times New Roman"/>
          <w:b w:val="0"/>
          <w:i w:val="0"/>
          <w:color w:val="000000"/>
          <w:sz w:val="22"/>
        </w:rPr>
        <w:t xml:space="preserve">, паспорт </w:t>
      </w:r>
      <w:r>
        <w:rPr>
          <w:rFonts w:ascii="Times New Roman" w:hAnsi="Times New Roman" w:eastAsia="Times New Roman" w:cs="Times New Roman"/>
          <w:b w:val="0"/>
          <w:i w:val="0"/>
          <w:color w:val="000000"/>
          <w:sz w:val="22"/>
          <w:highlight w:val="yellow"/>
        </w:rPr>
        <w:t>[ЗАПОЛНИТЬ: серия, номер, кем и когда выдан, код подразделения]</w:t>
      </w:r>
      <w:r>
        <w:rPr>
          <w:rFonts w:ascii="Times New Roman" w:hAnsi="Times New Roman" w:eastAsia="Times New Roman" w:cs="Times New Roman"/>
          <w:b w:val="0"/>
          <w:i w:val="0"/>
          <w:color w:val="000000"/>
          <w:sz w:val="22"/>
        </w:rPr>
        <w:t xml:space="preserve">, зарегистрированный(ая) по адресу: </w:t>
      </w:r>
      <w:r>
        <w:rPr>
          <w:rFonts w:ascii="Times New Roman" w:hAnsi="Times New Roman" w:eastAsia="Times New Roman" w:cs="Times New Roman"/>
          <w:b w:val="0"/>
          <w:i w:val="0"/>
          <w:color w:val="000000"/>
          <w:sz w:val="22"/>
          <w:highlight w:val="yellow"/>
        </w:rPr>
        <w:t>[ЗАПОЛНИТЬ]</w:t>
      </w:r>
      <w:r>
        <w:rPr>
          <w:rFonts w:ascii="Times New Roman" w:hAnsi="Times New Roman" w:eastAsia="Times New Roman" w:cs="Times New Roman"/>
          <w:b w:val="0"/>
          <w:i w:val="0"/>
          <w:color w:val="000000"/>
          <w:sz w:val="22"/>
        </w:rPr>
        <w:t xml:space="preserve">, СНИЛС </w:t>
      </w:r>
      <w:r>
        <w:rPr>
          <w:rFonts w:ascii="Times New Roman" w:hAnsi="Times New Roman" w:eastAsia="Times New Roman" w:cs="Times New Roman"/>
          <w:b w:val="0"/>
          <w:i w:val="0"/>
          <w:color w:val="000000"/>
          <w:sz w:val="22"/>
          <w:highlight w:val="yellow"/>
        </w:rPr>
        <w:t>[ЗАПОЛНИТЬ]</w:t>
      </w:r>
      <w:r>
        <w:rPr>
          <w:rFonts w:ascii="Times New Roman" w:hAnsi="Times New Roman" w:eastAsia="Times New Roman" w:cs="Times New Roman"/>
          <w:b w:val="0"/>
          <w:i w:val="0"/>
          <w:color w:val="000000"/>
          <w:sz w:val="22"/>
        </w:rPr>
        <w:t xml:space="preserve">, ИНН </w:t>
      </w:r>
      <w:r>
        <w:rPr>
          <w:rFonts w:ascii="Times New Roman" w:hAnsi="Times New Roman" w:eastAsia="Times New Roman" w:cs="Times New Roman"/>
          <w:b w:val="0"/>
          <w:i w:val="0"/>
          <w:color w:val="000000"/>
          <w:sz w:val="22"/>
          <w:highlight w:val="yellow"/>
        </w:rPr>
        <w:t>[ЗАПОЛНИТЬ при наличии]</w:t>
      </w:r>
      <w:r>
        <w:rPr>
          <w:rFonts w:ascii="Times New Roman" w:hAnsi="Times New Roman" w:eastAsia="Times New Roman" w:cs="Times New Roman"/>
          <w:b w:val="0"/>
          <w:i w:val="0"/>
          <w:color w:val="000000"/>
          <w:sz w:val="22"/>
        </w:rPr>
        <w:t>, именуемый(ая) в дальнейшем «Участник», с другой стороны, совместно именуемые «Стороны», руководствуясь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 214-ФЗ»), заключили настоящий договор участия в долевом строительстве (далее — «Договор») о нижеследующем.</w:t>
      </w:r>
    </w:p>
    <w:p w14:paraId="145C2AE1">
      <w:pPr>
        <w:pStyle w:val="2"/>
        <w:keepNext/>
        <w:widowControl/>
        <w:spacing w:before="160" w:after="80" w:line="245" w:lineRule="auto"/>
        <w:ind w:firstLine="0"/>
        <w:jc w:val="left"/>
      </w:pPr>
      <w:r>
        <w:rPr>
          <w:rFonts w:ascii="Times New Roman" w:hAnsi="Times New Roman" w:eastAsia="Times New Roman" w:cs="Times New Roman"/>
          <w:b/>
          <w:i w:val="0"/>
          <w:color w:val="000000"/>
          <w:sz w:val="22"/>
        </w:rPr>
        <w:t>1. ТЕРМИНЫ, ДОКУМЕНТЫ И ТОЛКОВАНИЕ ДОГОВОРА</w:t>
      </w:r>
    </w:p>
    <w:p w14:paraId="438C74C7">
      <w:pPr>
        <w:keepNext w:val="0"/>
        <w:widowControl/>
        <w:spacing w:after="60" w:line="245" w:lineRule="auto"/>
        <w:ind w:firstLine="340"/>
        <w:jc w:val="both"/>
      </w:pPr>
      <w:r>
        <w:rPr>
          <w:rFonts w:ascii="Times New Roman" w:hAnsi="Times New Roman" w:eastAsia="Times New Roman" w:cs="Times New Roman"/>
          <w:b w:val="0"/>
          <w:i w:val="0"/>
          <w:color w:val="000000"/>
          <w:sz w:val="22"/>
        </w:rPr>
        <w:t>1.1. «Проект строительства» — реализация объекта капитального строительства «Жилой комплекс «Онегин» по адресу: г. Калининград, ул. Барнаульская, участок с к.н. 39:15:132312:509» (коммерческое наименование — ЖК «Онегин»), включая многоквартирный жилой дом с встроенными нежилыми помещениями и подземной автостоянкой, сети, инженерные сооружения, проезды, площадки и благоустройство, предусмотренные проектной документацией.</w:t>
      </w:r>
    </w:p>
    <w:p w14:paraId="380FBBEA">
      <w:pPr>
        <w:keepNext w:val="0"/>
        <w:widowControl/>
        <w:spacing w:after="60" w:line="245" w:lineRule="auto"/>
        <w:ind w:firstLine="340"/>
        <w:jc w:val="both"/>
      </w:pPr>
      <w:r>
        <w:rPr>
          <w:rFonts w:ascii="Times New Roman" w:hAnsi="Times New Roman" w:eastAsia="Times New Roman" w:cs="Times New Roman"/>
          <w:b w:val="0"/>
          <w:i w:val="0"/>
          <w:color w:val="000000"/>
          <w:sz w:val="22"/>
        </w:rPr>
        <w:t>1.2. «Дом» — многоквартирный жилой дом переменной этажности в составе Проекта строительства, образованный тремя надземными корпусами, включающими 12 секций, и подземной частью. Корпус и секция являются проектными обозначениями частей Дома и сами по себе не означают наличие отдельных объектов капитального строительства или самостоятельных этапов строительства. Основные характеристики Дома, корпус и секция расположения Квартиры указываются в Приложении № 1.</w:t>
      </w:r>
    </w:p>
    <w:p w14:paraId="08C15C0B">
      <w:pPr>
        <w:keepNext w:val="0"/>
        <w:widowControl/>
        <w:spacing w:after="60" w:line="245" w:lineRule="auto"/>
        <w:ind w:firstLine="340"/>
        <w:jc w:val="both"/>
      </w:pPr>
      <w:r>
        <w:rPr>
          <w:rFonts w:ascii="Times New Roman" w:hAnsi="Times New Roman" w:eastAsia="Times New Roman" w:cs="Times New Roman"/>
          <w:b w:val="0"/>
          <w:i w:val="0"/>
          <w:color w:val="000000"/>
          <w:sz w:val="22"/>
        </w:rPr>
        <w:t>1.3. «Объект долевого строительства» или «Квартира» — подлежащее передаче Участнику жилое помещение, индивидуализированное в Приложениях № 1 и № 2 по назначению, условному номеру, корпусу, секции, этажу, местоположению, количеству и площади комнат и помещений вспомогательного использования, а при наличии Летних помещений — также по виду, расположению и площади каждого из них. Для двухуровневой Квартиры указываются оба уровня и предусмотренная проектом антресоль при ее наличии.</w:t>
      </w:r>
    </w:p>
    <w:p w14:paraId="36834CCF">
      <w:pPr>
        <w:keepNext w:val="0"/>
        <w:widowControl/>
        <w:spacing w:after="60" w:line="245" w:lineRule="auto"/>
        <w:ind w:firstLine="340"/>
        <w:jc w:val="both"/>
      </w:pPr>
      <w:r>
        <w:rPr>
          <w:rFonts w:ascii="Times New Roman" w:hAnsi="Times New Roman" w:eastAsia="Times New Roman" w:cs="Times New Roman"/>
          <w:b w:val="0"/>
          <w:i w:val="0"/>
          <w:color w:val="000000"/>
          <w:sz w:val="22"/>
        </w:rPr>
        <w:t>1.4. «Летнее помещение» — предусмотренный проектной документацией и функционально связанный с Квартирой балкон, лоджия или терраса. Термин «Летние помещения» охватывает одно или несколько таких помещений (элементов). Терраса может быть открытой, неотапливаемой, полностью или частично неостекленной и иметь ограждение, покрытие, элементы водоотведения, навес и иные элементы исключительно в объеме, предусмотренном проектной документацией и Приложениями № 1, 2 и 3.</w:t>
      </w:r>
    </w:p>
    <w:p w14:paraId="6B472731">
      <w:pPr>
        <w:keepNext w:val="0"/>
        <w:widowControl/>
        <w:spacing w:after="60" w:line="245" w:lineRule="auto"/>
        <w:ind w:firstLine="340"/>
        <w:jc w:val="both"/>
      </w:pPr>
      <w:r>
        <w:rPr>
          <w:rFonts w:ascii="Times New Roman" w:hAnsi="Times New Roman" w:eastAsia="Times New Roman" w:cs="Times New Roman"/>
          <w:b w:val="0"/>
          <w:i w:val="0"/>
          <w:color w:val="000000"/>
          <w:sz w:val="22"/>
        </w:rPr>
        <w:t>1.5. «Проектная общая площадь Квартиры без учета площади Летних помещений» — предусмотренная проектной документацией и проектной декларацией сумма площадей всех частей Квартиры, включая комнаты и помещения вспомогательного использования, но без включения площади балконов, лоджий и террас. Указанная величина является проектным показателем площади жилого помещения, сопоставимым с площадью, которая после завершения строительства и осуществления государственного кадастрового учета будет внесена в Единый государственный реестр недвижимости (ЕГРН), и применяется для определения предусмотренного законом предельно допустимого изменения площади Квартиры.</w:t>
      </w:r>
    </w:p>
    <w:p w14:paraId="3E107F7A">
      <w:pPr>
        <w:keepNext w:val="0"/>
        <w:widowControl/>
        <w:spacing w:after="60" w:line="245" w:lineRule="auto"/>
        <w:ind w:firstLine="340"/>
        <w:jc w:val="both"/>
      </w:pPr>
      <w:r>
        <w:rPr>
          <w:rFonts w:ascii="Times New Roman" w:hAnsi="Times New Roman" w:eastAsia="Times New Roman" w:cs="Times New Roman"/>
          <w:b w:val="0"/>
          <w:i w:val="0"/>
          <w:color w:val="000000"/>
          <w:sz w:val="22"/>
        </w:rPr>
        <w:t>1.6. «Проектная площадь Квартиры с учетом полной площади Летних помещений без применения понижающих коэффициентов» — сумма Проектной общей площади Квартиры без учета площади Летних помещений и полной геометрической площади каждого предусмотренного проектом Летнего помещения. Данный показатель имеет информационный характер, не является площадью Квартиры, подлежащей внесению в ЕГРН, и непосредственно для определения Цены Договора не применяется.</w:t>
      </w:r>
    </w:p>
    <w:p w14:paraId="6D84D90D">
      <w:pPr>
        <w:keepNext w:val="0"/>
        <w:widowControl/>
        <w:spacing w:after="60" w:line="245" w:lineRule="auto"/>
        <w:ind w:firstLine="340"/>
        <w:jc w:val="both"/>
      </w:pPr>
      <w:r>
        <w:rPr>
          <w:rFonts w:ascii="Times New Roman" w:hAnsi="Times New Roman" w:eastAsia="Times New Roman" w:cs="Times New Roman"/>
          <w:b w:val="0"/>
          <w:i w:val="0"/>
          <w:color w:val="000000"/>
          <w:sz w:val="22"/>
        </w:rPr>
        <w:t>1.7. «Проектная приведенная площадь Квартиры» — сумма Проектной общей площади Квартиры без учета площади Летних помещений и площади каждого Летнего помещения, учтенной с понижающим коэффициентом: для балкона — 0,3; для лоджии — 0,5; для террасы — 0,3. При наличии нескольких Летних помещений площадь каждого из них учитывается отдельно с соответствующим коэффициентом. Указанный показатель применяется исключительно для определения Цены Договора и соответствует общей приведенной площади жилого помещения в смысле части 1 статьи 5 Закона № 214-ФЗ; он не является площадью Квартиры, подлежащей внесению в ЕГРН. К полной геометрической площади каждого Летнего помещения коэффициент применяется однократно; уже приведенная в экспликации площадь повторно не уменьшается.</w:t>
      </w:r>
    </w:p>
    <w:p w14:paraId="484AB7ED">
      <w:pPr>
        <w:keepNext w:val="0"/>
        <w:widowControl/>
        <w:spacing w:after="60" w:line="245" w:lineRule="auto"/>
        <w:ind w:firstLine="340"/>
        <w:jc w:val="both"/>
      </w:pPr>
      <w:r>
        <w:rPr>
          <w:rFonts w:ascii="Times New Roman" w:hAnsi="Times New Roman" w:eastAsia="Times New Roman" w:cs="Times New Roman"/>
          <w:b w:val="0"/>
          <w:i w:val="0"/>
          <w:color w:val="000000"/>
          <w:sz w:val="22"/>
        </w:rPr>
        <w:t>1.8. «Проектная жилая площадь Квартиры» — предусмотренная проектной документацией сумма площадей жилых комнат Квартиры. Проектная жилая площадь указывается в целях описания Квартиры и носит информационный характер. Изменение площади отдельных жилых комнат при сохранении количества комнат, назначения Квартиры и ее общей площади само по себе не является основанием для изменения Цены Договора, отказа от приемки Квартиры или расторжения Договора.</w:t>
      </w:r>
    </w:p>
    <w:p w14:paraId="2EE00D24">
      <w:pPr>
        <w:keepNext w:val="0"/>
        <w:widowControl/>
        <w:spacing w:after="60" w:line="245" w:lineRule="auto"/>
        <w:ind w:firstLine="340"/>
        <w:jc w:val="both"/>
      </w:pPr>
      <w:r>
        <w:rPr>
          <w:rFonts w:ascii="Times New Roman" w:hAnsi="Times New Roman" w:eastAsia="Times New Roman" w:cs="Times New Roman"/>
          <w:b w:val="0"/>
          <w:i w:val="0"/>
          <w:color w:val="000000"/>
          <w:sz w:val="22"/>
        </w:rPr>
        <w:t>1.9. «Фактическая общая площадь Квартиры без учета площади Летних помещений» — площадь созданного жилого помещения, определенная кадастровым инженером после завершения строительства по результатам фактических измерений и отраженная в техническом плане; именно сведения об этой площади вносятся в ЕГРН при государственном кадастровом учете Квартиры.</w:t>
      </w:r>
    </w:p>
    <w:p w14:paraId="1DDA3024">
      <w:pPr>
        <w:keepNext w:val="0"/>
        <w:widowControl/>
        <w:spacing w:after="60" w:line="245" w:lineRule="auto"/>
        <w:ind w:firstLine="340"/>
        <w:jc w:val="both"/>
      </w:pPr>
      <w:r>
        <w:rPr>
          <w:rFonts w:ascii="Times New Roman" w:hAnsi="Times New Roman" w:eastAsia="Times New Roman" w:cs="Times New Roman"/>
          <w:b w:val="0"/>
          <w:i w:val="0"/>
          <w:color w:val="000000"/>
          <w:sz w:val="22"/>
        </w:rPr>
        <w:t>1.10. «Фактическая приведенная площадь Квартиры» — сумма Фактической общей площади Квартиры без учета площади Летних помещений и фактической геометрической площади каждого Летнего помещения, учтенной с коэффициентом 0,3 для балкона, 0,5 для лоджии и 0,3 для террасы. Указанный показатель применяется исключительно для окончательного перерасчета Цены Договора.</w:t>
      </w:r>
    </w:p>
    <w:p w14:paraId="2E210F19">
      <w:pPr>
        <w:keepNext w:val="0"/>
        <w:widowControl/>
        <w:spacing w:after="60" w:line="245" w:lineRule="auto"/>
        <w:ind w:firstLine="340"/>
        <w:jc w:val="both"/>
      </w:pPr>
      <w:r>
        <w:rPr>
          <w:rFonts w:ascii="Times New Roman" w:hAnsi="Times New Roman" w:eastAsia="Times New Roman" w:cs="Times New Roman"/>
          <w:b w:val="0"/>
          <w:i w:val="0"/>
          <w:color w:val="000000"/>
          <w:sz w:val="22"/>
        </w:rPr>
        <w:t>1.11. «Государственный кадастровый учет Квартиры» — внесение органом регистрации прав в ЕГРН сведений о созданной Квартире на основании технического плана, подготовленного кадастровым инженером. Присвоенные по результатам учета кадастровый номер, адрес и Фактическая общая площадь Квартиры без учета площади Летних помещений могут отличаться от строительных обозначений и проектных показателей в пределах и по основаниям, предусмотренным Договором и законодательством.</w:t>
      </w:r>
    </w:p>
    <w:p w14:paraId="328ACA74">
      <w:pPr>
        <w:keepNext w:val="0"/>
        <w:widowControl/>
        <w:spacing w:after="60" w:line="245" w:lineRule="auto"/>
        <w:ind w:firstLine="340"/>
        <w:jc w:val="both"/>
      </w:pPr>
      <w:r>
        <w:rPr>
          <w:rFonts w:ascii="Times New Roman" w:hAnsi="Times New Roman" w:eastAsia="Times New Roman" w:cs="Times New Roman"/>
          <w:b w:val="0"/>
          <w:i w:val="0"/>
          <w:color w:val="000000"/>
          <w:sz w:val="22"/>
        </w:rPr>
        <w:t>1.12. Неотъемлемыми частями Договора являются: Приложение № 1 «Индивидуальные условия и характеристики Объекта», Приложение № 2 «План Объекта долевого строительства», Приложение № 3 «Состав передаваемого Объекта».</w:t>
      </w:r>
    </w:p>
    <w:p w14:paraId="4315BBEF">
      <w:pPr>
        <w:keepNext w:val="0"/>
        <w:widowControl/>
        <w:spacing w:after="60" w:line="245" w:lineRule="auto"/>
        <w:ind w:firstLine="340"/>
        <w:jc w:val="both"/>
      </w:pPr>
      <w:r>
        <w:rPr>
          <w:rFonts w:ascii="Times New Roman" w:hAnsi="Times New Roman" w:eastAsia="Times New Roman" w:cs="Times New Roman"/>
          <w:b w:val="0"/>
          <w:i w:val="0"/>
          <w:color w:val="000000"/>
          <w:sz w:val="22"/>
        </w:rPr>
        <w:t>1.13. Индивидуальные характеристики Квартиры определяются Приложениями № 1 и № 2 в соответствии с проектной декларацией на дату заключения Договора. При противоречии между общими положениями Договора и заполненными индивидуальными условиями приоритет имеют индивидуальные условия, если это не противоречит императивным нормам законодательства. Условия Договора толкуются системно, исходя из правовой и экономической цели соответствующего положения, проектной документации и обязательных требований.</w:t>
      </w:r>
    </w:p>
    <w:p w14:paraId="19DB567A">
      <w:pPr>
        <w:keepNext w:val="0"/>
        <w:widowControl/>
        <w:spacing w:after="60" w:line="245" w:lineRule="auto"/>
        <w:ind w:firstLine="340"/>
        <w:jc w:val="both"/>
      </w:pPr>
      <w:r>
        <w:rPr>
          <w:rFonts w:ascii="Times New Roman" w:hAnsi="Times New Roman" w:eastAsia="Times New Roman" w:cs="Times New Roman"/>
          <w:b w:val="0"/>
          <w:i w:val="0"/>
          <w:color w:val="000000"/>
          <w:sz w:val="22"/>
        </w:rPr>
        <w:t>1.14. Для Квартиры в двух уровнях общая и жилая площади определяются суммарно по входящим в нее помещениям обоих уровней с учетом обязательных правил измерения, в том числе участков под наклонными ограждающими конструкциями. Антресоль и второй уровень не являются балконом, лоджией или террасой; понижающие коэффициенты для Летних помещений к ним не применяются. Каждое помещение учитывается один раз; если итоговая экспликация нижнего уровня уже включает верхний, повторное прибавление площади верхнего уровня не производится. Состав лестницы, ограждений и инженерного оборудования указывается в Приложении № 3.</w:t>
      </w:r>
    </w:p>
    <w:p w14:paraId="0555F9E7">
      <w:pPr>
        <w:pStyle w:val="2"/>
        <w:keepNext/>
        <w:widowControl/>
        <w:spacing w:before="160" w:after="80" w:line="245" w:lineRule="auto"/>
        <w:ind w:firstLine="0"/>
        <w:jc w:val="left"/>
      </w:pPr>
      <w:r>
        <w:rPr>
          <w:rFonts w:ascii="Times New Roman" w:hAnsi="Times New Roman" w:eastAsia="Times New Roman" w:cs="Times New Roman"/>
          <w:b/>
          <w:i w:val="0"/>
          <w:color w:val="000000"/>
          <w:sz w:val="22"/>
        </w:rPr>
        <w:t>2. ПРЕДМЕТ ДОГОВОРА</w:t>
      </w:r>
    </w:p>
    <w:p w14:paraId="043C6E2E">
      <w:pPr>
        <w:keepNext w:val="0"/>
        <w:widowControl/>
        <w:spacing w:after="60" w:line="245" w:lineRule="auto"/>
        <w:ind w:firstLine="340"/>
        <w:jc w:val="both"/>
      </w:pPr>
      <w:r>
        <w:rPr>
          <w:rFonts w:ascii="Times New Roman" w:hAnsi="Times New Roman" w:eastAsia="Times New Roman" w:cs="Times New Roman"/>
          <w:b w:val="0"/>
          <w:i w:val="0"/>
          <w:color w:val="000000"/>
          <w:sz w:val="22"/>
        </w:rPr>
        <w:t>2.1. Застройщик обязуется в предусмотренный Договором срок своими силами и (или) с привлечением третьих лиц построить Дом в составе Проекта строительства, получить разрешение на ввод Дома в эксплуатацию и передать Участнику Объект долевого строительства, а Участник обязуется уплатить Цену Договора путем внесения денежных средств на счет эскроу и принять Объект долевого строительства.</w:t>
      </w:r>
    </w:p>
    <w:p w14:paraId="6566BD26">
      <w:pPr>
        <w:keepNext w:val="0"/>
        <w:widowControl/>
        <w:spacing w:after="60" w:line="245" w:lineRule="auto"/>
        <w:ind w:firstLine="340"/>
        <w:jc w:val="both"/>
      </w:pPr>
      <w:r>
        <w:rPr>
          <w:rFonts w:ascii="Times New Roman" w:hAnsi="Times New Roman" w:eastAsia="Times New Roman" w:cs="Times New Roman"/>
          <w:b w:val="0"/>
          <w:i w:val="0"/>
          <w:color w:val="000000"/>
          <w:sz w:val="22"/>
        </w:rPr>
        <w:t>2.2. Квартира определяется в соответствии с проектной документацией планом, назначением, условным номером, этажом, местоположением на этаже, количеством и площадью комнат и помещений вспомогательного использования, а при наличии Летнего помещения — также его видом, этажом, местоположением, полной геометрической площадью и применяемым понижающим коэффициентом, указанными в Приложениях № 1 и № 2.</w:t>
      </w:r>
    </w:p>
    <w:p w14:paraId="6AC2456A">
      <w:pPr>
        <w:keepNext w:val="0"/>
        <w:widowControl/>
        <w:spacing w:after="60" w:line="245" w:lineRule="auto"/>
        <w:ind w:firstLine="340"/>
        <w:jc w:val="both"/>
      </w:pPr>
      <w:r>
        <w:rPr>
          <w:rFonts w:ascii="Times New Roman" w:hAnsi="Times New Roman" w:eastAsia="Times New Roman" w:cs="Times New Roman"/>
          <w:b w:val="0"/>
          <w:i w:val="0"/>
          <w:color w:val="000000"/>
          <w:sz w:val="22"/>
        </w:rPr>
        <w:t>2.3. Объект передается Участнику после получения разрешения на ввод Дома в эксплуатацию в порядке раздела 6 Договора.</w:t>
      </w:r>
    </w:p>
    <w:p w14:paraId="0766CCCA">
      <w:pPr>
        <w:keepNext w:val="0"/>
        <w:widowControl/>
        <w:spacing w:after="60" w:line="245" w:lineRule="auto"/>
        <w:ind w:firstLine="340"/>
        <w:jc w:val="both"/>
      </w:pPr>
      <w:r>
        <w:rPr>
          <w:rFonts w:ascii="Times New Roman" w:hAnsi="Times New Roman" w:eastAsia="Times New Roman" w:cs="Times New Roman"/>
          <w:b w:val="0"/>
          <w:i w:val="0"/>
          <w:color w:val="000000"/>
          <w:sz w:val="22"/>
        </w:rPr>
        <w:t>2.4. Участник приобретает право требования исключительно в отношении Объекта, указанного в Приложении № 1. Договор не предоставляет Участнику права собственности, аренды, безвозмездного пользования или преимущественного приобретения в отношении иных квартир, нежилых помещений, кладовых, машино-мест, открытых парковочных мест, сооружений, объектов инженерной инфраструктуры, земельных участков или частей Проекта строительства, кроме доли в общем имуществе Дома, возникающей в силу закона.</w:t>
      </w:r>
    </w:p>
    <w:p w14:paraId="00E4C753">
      <w:pPr>
        <w:keepNext w:val="0"/>
        <w:widowControl/>
        <w:spacing w:after="60" w:line="245" w:lineRule="auto"/>
        <w:ind w:firstLine="340"/>
        <w:jc w:val="both"/>
      </w:pPr>
      <w:r>
        <w:rPr>
          <w:rFonts w:ascii="Times New Roman" w:hAnsi="Times New Roman" w:eastAsia="Times New Roman" w:cs="Times New Roman"/>
          <w:b w:val="0"/>
          <w:i w:val="0"/>
          <w:color w:val="000000"/>
          <w:sz w:val="22"/>
        </w:rPr>
        <w:t>2.5. Почтовый адрес, номер Дома, подъезда, этажа и Квартиры, а также кадастровый номер Квартиры присваиваются уполномоченными органами и могут отличаться от строительных обозначений. Такое уточнение не является изменением предмета Договора, если после его осуществления Квартира может быть однозначно идентифицирована по совокупности характеристик.</w:t>
      </w:r>
    </w:p>
    <w:p w14:paraId="67947FB7">
      <w:pPr>
        <w:pStyle w:val="2"/>
        <w:keepNext/>
        <w:widowControl/>
        <w:spacing w:before="160" w:after="80" w:line="245" w:lineRule="auto"/>
        <w:ind w:firstLine="0"/>
        <w:jc w:val="left"/>
      </w:pPr>
      <w:r>
        <w:rPr>
          <w:rFonts w:ascii="Times New Roman" w:hAnsi="Times New Roman" w:eastAsia="Times New Roman" w:cs="Times New Roman"/>
          <w:b/>
          <w:i w:val="0"/>
          <w:color w:val="000000"/>
          <w:sz w:val="22"/>
        </w:rPr>
        <w:t>3. ОСНОВАНИЯ СТРОИТЕЛЬСТВА И ХАРАКТЕРИСТИКИ ПРОЕКТА</w:t>
      </w:r>
    </w:p>
    <w:p w14:paraId="7A8C5AE4">
      <w:pPr>
        <w:keepNext w:val="0"/>
        <w:widowControl/>
        <w:spacing w:after="60" w:line="245" w:lineRule="auto"/>
        <w:ind w:firstLine="340"/>
        <w:jc w:val="both"/>
      </w:pPr>
      <w:r>
        <w:rPr>
          <w:rFonts w:ascii="Times New Roman" w:hAnsi="Times New Roman" w:eastAsia="Times New Roman" w:cs="Times New Roman"/>
          <w:b w:val="0"/>
          <w:i w:val="0"/>
          <w:color w:val="000000"/>
          <w:sz w:val="22"/>
        </w:rPr>
        <w:t>3.1. Строительство осуществляется на основании разрешения на строительство № 39-15-212-2026 от 08.09.2026, выданного Министерством градостроительной политики Калининградской области, срок действия — до 08.09.2029.</w:t>
      </w:r>
    </w:p>
    <w:p w14:paraId="6514A6A1">
      <w:pPr>
        <w:keepNext w:val="0"/>
        <w:widowControl/>
        <w:spacing w:after="60" w:line="245" w:lineRule="auto"/>
        <w:ind w:firstLine="340"/>
        <w:jc w:val="both"/>
        <w:rPr>
          <w:rFonts w:ascii="Times New Roman" w:hAnsi="Times New Roman" w:eastAsia="Times New Roman" w:cs="Times New Roman"/>
          <w:b w:val="0"/>
          <w:i w:val="0"/>
          <w:color w:val="000000"/>
          <w:sz w:val="22"/>
        </w:rPr>
      </w:pPr>
      <w:r>
        <w:rPr>
          <w:rFonts w:ascii="Times New Roman" w:hAnsi="Times New Roman" w:eastAsia="Times New Roman" w:cs="Times New Roman"/>
          <w:b w:val="0"/>
          <w:i w:val="0"/>
          <w:color w:val="000000"/>
          <w:sz w:val="22"/>
        </w:rPr>
        <w:t xml:space="preserve">3.2. Строительство осуществляется на земельном участке с кадастровым номером 39:15:132312:509, площадью 12 654 кв. м (погрешность определения площади — 39 кв. м), категория земель — «Земли населенных пунктов», вид разрешенного использования — «Среднеэтажная жилая застройка», местоположение: Калининградская область, г. Калининград, ул. Барнаульская. Собственник участка — ООО «АБ ОВО», ИНН 3905055266, ОГРН 1043900800130; номер государственной регистрации права собственности 39:15:132312:509-39/021/2019-1 от 14.08.2019. Застройщик использует участок на основании договора долгосрочной аренды земельного участка б/н от 22.04.2026, заключенного на 5 (пять) лет. Аренда зарегистрирована 30.04.2026, номер записи об обременении 39:15:132312:509-39/021/2026-2; номер государственной регистрации договора аренды 39:15:132312:509-39/021/2026-3. </w:t>
      </w:r>
    </w:p>
    <w:p w14:paraId="7517866F">
      <w:pPr>
        <w:keepNext w:val="0"/>
        <w:widowControl/>
        <w:spacing w:after="60" w:line="245" w:lineRule="auto"/>
        <w:ind w:firstLine="340"/>
        <w:jc w:val="both"/>
      </w:pPr>
      <w:r>
        <w:rPr>
          <w:rFonts w:ascii="Times New Roman" w:hAnsi="Times New Roman" w:eastAsia="Times New Roman" w:cs="Times New Roman"/>
          <w:b w:val="0"/>
          <w:i w:val="0"/>
          <w:color w:val="000000"/>
          <w:sz w:val="22"/>
        </w:rPr>
        <w:t xml:space="preserve">3.3. </w:t>
      </w:r>
      <w:r>
        <w:rPr>
          <w:rFonts w:eastAsia="Times New Roman" w:cs="Times New Roman"/>
          <w:b w:val="0"/>
          <w:i w:val="0"/>
          <w:color w:val="000000"/>
          <w:sz w:val="22"/>
          <w:lang w:val="ru-RU"/>
        </w:rPr>
        <w:t>В</w:t>
      </w:r>
      <w:r>
        <w:rPr>
          <w:rFonts w:ascii="Times New Roman" w:hAnsi="Times New Roman" w:eastAsia="Times New Roman" w:cs="Times New Roman"/>
          <w:b w:val="0"/>
          <w:i w:val="0"/>
          <w:color w:val="000000"/>
          <w:sz w:val="22"/>
        </w:rPr>
        <w:t xml:space="preserve"> отношении земельного участка 39:15:132312:509 зарегистрированы ипотеки в пользу ПАО Сбербанк (ИНН 7707083893, ОГРН 1027700132195): запись 39:15:132312:509-39/023/2026-4 от 25.06.2026, основание — договор ипотеки № ДИ04_550F01IPIMF-001 от 16.06.2026; запись 39:15:132312:509-39/023/2026-5 от 26.06.2026, основание — договор ипотеки № ДИ01_550F01IPIMF-001 от 16.06.2026. В указанной выписке срок обеих ипотек установлен до 27.12.2029.  Участник уведомлен об указанных обременениях. Их наличие само по себе не является недостатком Квартиры; это условие не исключает обязанность Застройщика обеспечить законность строительства, привлечения денежных средств и передачи Объекта с соблюдением прав Участника. Распоряжение правами аренды и обеспечение обязательств осуществляются в пределах разделов 7 и 10 Договора. </w:t>
      </w:r>
    </w:p>
    <w:p w14:paraId="2A086180">
      <w:pPr>
        <w:keepNext w:val="0"/>
        <w:widowControl/>
        <w:spacing w:after="60" w:line="245" w:lineRule="auto"/>
        <w:ind w:firstLine="340"/>
        <w:jc w:val="both"/>
      </w:pPr>
      <w:r>
        <w:rPr>
          <w:rFonts w:ascii="Times New Roman" w:hAnsi="Times New Roman" w:eastAsia="Times New Roman" w:cs="Times New Roman"/>
          <w:b w:val="0"/>
          <w:i w:val="0"/>
          <w:color w:val="000000"/>
          <w:sz w:val="22"/>
        </w:rPr>
        <w:t>3.4. Инженерные изыскания выполнены ООО «ГЕОИД», ИНН 3906083185: инженерно-геодезические изыскания — технический отчет 26-00285-ИГДИ от 08.03.2026; инженерно-геологические изыскания — технический отчет 26-00285-ИГИ от 30.04.2026.</w:t>
      </w:r>
    </w:p>
    <w:p w14:paraId="10875BEF">
      <w:pPr>
        <w:keepNext w:val="0"/>
        <w:widowControl/>
        <w:spacing w:after="60" w:line="245" w:lineRule="auto"/>
        <w:ind w:firstLine="340"/>
        <w:jc w:val="both"/>
      </w:pPr>
      <w:r>
        <w:rPr>
          <w:rFonts w:ascii="Times New Roman" w:hAnsi="Times New Roman" w:eastAsia="Times New Roman" w:cs="Times New Roman"/>
          <w:b w:val="0"/>
          <w:i w:val="0"/>
          <w:color w:val="000000"/>
          <w:sz w:val="22"/>
        </w:rPr>
        <w:t>3.5. Проектная документация разработана ООО «АрхПД», ИНН 3906289852, шифр проекта 2026.02-02. Положительное заключение экспертизы проектной документации № 39-2-1-2-041268-2026</w:t>
      </w:r>
      <w:r>
        <w:rPr>
          <w:rFonts w:hint="default" w:eastAsia="Times New Roman" w:cs="Times New Roman"/>
          <w:b w:val="0"/>
          <w:i w:val="0"/>
          <w:color w:val="000000"/>
          <w:sz w:val="22"/>
          <w:lang w:val="ru-RU"/>
        </w:rPr>
        <w:t>,</w:t>
      </w:r>
      <w:r>
        <w:rPr>
          <w:rFonts w:ascii="Times New Roman" w:hAnsi="Times New Roman" w:eastAsia="Times New Roman" w:cs="Times New Roman"/>
          <w:b w:val="0"/>
          <w:i w:val="0"/>
          <w:color w:val="000000"/>
          <w:sz w:val="22"/>
        </w:rPr>
        <w:t xml:space="preserve"> выдано ООО «ПРОЭКСПЕРТ», ИНН 3906979292. Характеристики Объекта определяются утвержденной проектной документацией с изменениями, внесенными в установленном законом порядке, и актуальной проектной декларацией. Индивидуальные характеристики Квартиры и состав ее передачи закрепляются в Приложениях № 1, 2 и 3.</w:t>
      </w:r>
    </w:p>
    <w:p w14:paraId="32BE125B">
      <w:pPr>
        <w:keepNext w:val="0"/>
        <w:widowControl/>
        <w:spacing w:after="60" w:line="245" w:lineRule="auto"/>
        <w:ind w:firstLine="340"/>
        <w:jc w:val="both"/>
      </w:pPr>
      <w:r>
        <w:rPr>
          <w:rFonts w:ascii="Times New Roman" w:hAnsi="Times New Roman" w:eastAsia="Times New Roman" w:cs="Times New Roman"/>
          <w:b w:val="0"/>
          <w:i w:val="0"/>
          <w:color w:val="000000"/>
          <w:sz w:val="22"/>
        </w:rPr>
        <w:t>3.6. Проектная декларация № 39-001644 от 06.10.2026 размещена в Единой информационной системе жилищного строительства (ЕИСЖС) на сайте наш.дом.рф; дата первичного размещения — 06.10.2026; идентификатор объекта — 73827. До подписания Договора Участнику предоставляется возможность ознакомиться с актуальной на дату заключения Договора проектной декларацией, разрешением на строительство, документами о правах на земельный участок и проектной документацией в предусмотренном законом объеме.</w:t>
      </w:r>
    </w:p>
    <w:p w14:paraId="01F07465">
      <w:pPr>
        <w:keepNext w:val="0"/>
        <w:widowControl/>
        <w:spacing w:after="60" w:line="245" w:lineRule="auto"/>
        <w:ind w:firstLine="340"/>
        <w:jc w:val="both"/>
      </w:pPr>
      <w:r>
        <w:rPr>
          <w:rFonts w:ascii="Times New Roman" w:hAnsi="Times New Roman" w:eastAsia="Times New Roman" w:cs="Times New Roman"/>
          <w:b w:val="0"/>
          <w:i w:val="0"/>
          <w:color w:val="000000"/>
          <w:sz w:val="22"/>
        </w:rPr>
        <w:t>3.7. Проект предусматривает один многоквартирный жилой дом из трех надземных корпусов и 12 секций, 239 квартир, встроенные нежилые помещения, подземную автостоянку, инженерное обеспечение и благоустройство. Ввод и передача Квартиры не подтверждают предоставление Участнику прав на отдельные нежилые помещения или парковочные объекты. Обязательные для ввода Дома, его безопасной эксплуатации и передачи Квартиры работы должны быть выполнены независимо от последующего освоения и отделки иных помещений их владельцами.</w:t>
      </w:r>
    </w:p>
    <w:p w14:paraId="1D771DD7">
      <w:pPr>
        <w:pStyle w:val="2"/>
        <w:keepNext/>
        <w:widowControl/>
        <w:spacing w:before="160" w:after="80" w:line="245" w:lineRule="auto"/>
        <w:ind w:firstLine="0"/>
        <w:jc w:val="left"/>
      </w:pPr>
      <w:r>
        <w:rPr>
          <w:rFonts w:ascii="Times New Roman" w:hAnsi="Times New Roman" w:eastAsia="Times New Roman" w:cs="Times New Roman"/>
          <w:b/>
          <w:i w:val="0"/>
          <w:color w:val="000000"/>
          <w:sz w:val="22"/>
        </w:rPr>
        <w:t>4. ЦЕНА ДОГОВОРА</w:t>
      </w:r>
    </w:p>
    <w:p w14:paraId="70B84462">
      <w:pPr>
        <w:keepNext w:val="0"/>
        <w:widowControl/>
        <w:spacing w:after="60" w:line="245" w:lineRule="auto"/>
        <w:ind w:firstLine="340"/>
        <w:jc w:val="both"/>
      </w:pPr>
      <w:r>
        <w:rPr>
          <w:rFonts w:ascii="Times New Roman" w:hAnsi="Times New Roman" w:eastAsia="Times New Roman" w:cs="Times New Roman"/>
          <w:b w:val="0"/>
          <w:i w:val="0"/>
          <w:color w:val="000000"/>
          <w:sz w:val="22"/>
        </w:rPr>
        <w:t xml:space="preserve">4.1. Цена Договора составляет </w:t>
      </w:r>
      <w:r>
        <w:rPr>
          <w:rFonts w:ascii="Times New Roman" w:hAnsi="Times New Roman" w:eastAsia="Times New Roman" w:cs="Times New Roman"/>
          <w:b w:val="0"/>
          <w:i w:val="0"/>
          <w:color w:val="000000"/>
          <w:sz w:val="22"/>
          <w:highlight w:val="yellow"/>
        </w:rPr>
        <w:t>[ЗАПОЛНИТЬ: сумма цифрами]</w:t>
      </w:r>
      <w:r>
        <w:rPr>
          <w:rFonts w:ascii="Times New Roman" w:hAnsi="Times New Roman" w:eastAsia="Times New Roman" w:cs="Times New Roman"/>
          <w:b w:val="0"/>
          <w:i w:val="0"/>
          <w:color w:val="000000"/>
          <w:sz w:val="22"/>
        </w:rPr>
        <w:t xml:space="preserve"> (</w:t>
      </w:r>
      <w:r>
        <w:rPr>
          <w:rFonts w:ascii="Times New Roman" w:hAnsi="Times New Roman" w:eastAsia="Times New Roman" w:cs="Times New Roman"/>
          <w:b w:val="0"/>
          <w:i w:val="0"/>
          <w:color w:val="000000"/>
          <w:sz w:val="22"/>
          <w:highlight w:val="yellow"/>
        </w:rPr>
        <w:t>[ЗАПОЛНИТЬ: сумма прописью]</w:t>
      </w:r>
      <w:r>
        <w:rPr>
          <w:rFonts w:ascii="Times New Roman" w:hAnsi="Times New Roman" w:eastAsia="Times New Roman" w:cs="Times New Roman"/>
          <w:b w:val="0"/>
          <w:i w:val="0"/>
          <w:color w:val="000000"/>
          <w:sz w:val="22"/>
        </w:rPr>
        <w:t xml:space="preserve">) рублей </w:t>
      </w:r>
      <w:r>
        <w:rPr>
          <w:rFonts w:ascii="Times New Roman" w:hAnsi="Times New Roman" w:eastAsia="Times New Roman" w:cs="Times New Roman"/>
          <w:b w:val="0"/>
          <w:i w:val="0"/>
          <w:color w:val="000000"/>
          <w:sz w:val="22"/>
          <w:highlight w:val="yellow"/>
        </w:rPr>
        <w:t>[ЗАПОЛНИТЬ]</w:t>
      </w:r>
      <w:r>
        <w:rPr>
          <w:rFonts w:ascii="Times New Roman" w:hAnsi="Times New Roman" w:eastAsia="Times New Roman" w:cs="Times New Roman"/>
          <w:b w:val="0"/>
          <w:i w:val="0"/>
          <w:color w:val="000000"/>
          <w:sz w:val="22"/>
        </w:rPr>
        <w:t xml:space="preserve"> копеек (далее — «Цена Договора»). Первоначальная Цена Договора определяется как произведение цены одного квадратного метра Проектной приведенной площади Квартиры в размере </w:t>
      </w:r>
      <w:r>
        <w:rPr>
          <w:rFonts w:ascii="Times New Roman" w:hAnsi="Times New Roman" w:eastAsia="Times New Roman" w:cs="Times New Roman"/>
          <w:b w:val="0"/>
          <w:i w:val="0"/>
          <w:color w:val="000000"/>
          <w:sz w:val="22"/>
          <w:highlight w:val="yellow"/>
        </w:rPr>
        <w:t>[ЗАПОЛНИТЬ: сумма]</w:t>
      </w:r>
      <w:r>
        <w:rPr>
          <w:rFonts w:ascii="Times New Roman" w:hAnsi="Times New Roman" w:eastAsia="Times New Roman" w:cs="Times New Roman"/>
          <w:b w:val="0"/>
          <w:i w:val="0"/>
          <w:color w:val="000000"/>
          <w:sz w:val="22"/>
        </w:rPr>
        <w:t xml:space="preserve"> рублей </w:t>
      </w:r>
      <w:r>
        <w:rPr>
          <w:rFonts w:ascii="Times New Roman" w:hAnsi="Times New Roman" w:eastAsia="Times New Roman" w:cs="Times New Roman"/>
          <w:b w:val="0"/>
          <w:i w:val="0"/>
          <w:color w:val="000000"/>
          <w:sz w:val="22"/>
          <w:highlight w:val="yellow"/>
        </w:rPr>
        <w:t>[ЗАПОЛНИТЬ]</w:t>
      </w:r>
      <w:r>
        <w:rPr>
          <w:rFonts w:ascii="Times New Roman" w:hAnsi="Times New Roman" w:eastAsia="Times New Roman" w:cs="Times New Roman"/>
          <w:b w:val="0"/>
          <w:i w:val="0"/>
          <w:color w:val="000000"/>
          <w:sz w:val="22"/>
        </w:rPr>
        <w:t xml:space="preserve"> копеек на Проектную приведенную площадь Квартиры </w:t>
      </w:r>
      <w:r>
        <w:rPr>
          <w:rFonts w:ascii="Times New Roman" w:hAnsi="Times New Roman" w:eastAsia="Times New Roman" w:cs="Times New Roman"/>
          <w:b w:val="0"/>
          <w:i w:val="0"/>
          <w:color w:val="000000"/>
          <w:sz w:val="22"/>
          <w:highlight w:val="yellow"/>
        </w:rPr>
        <w:t>[ЗАПОЛНИТЬ]</w:t>
      </w:r>
      <w:r>
        <w:rPr>
          <w:rFonts w:ascii="Times New Roman" w:hAnsi="Times New Roman" w:eastAsia="Times New Roman" w:cs="Times New Roman"/>
          <w:b w:val="0"/>
          <w:i w:val="0"/>
          <w:color w:val="000000"/>
          <w:sz w:val="22"/>
        </w:rPr>
        <w:t xml:space="preserve"> кв. м; итог округляется до копеек по правилам математического округления. Предоставленная при бронировании скидка, если применима, учитывается в согласованной цене одного квадратного метра и Цене Договора; повторно из цены не вычитается. Плата за услугу бронирования не является оплатой Цены Договора.</w:t>
      </w:r>
    </w:p>
    <w:p w14:paraId="29D5D527">
      <w:pPr>
        <w:keepNext w:val="0"/>
        <w:widowControl/>
        <w:spacing w:after="60" w:line="245" w:lineRule="auto"/>
        <w:ind w:firstLine="340"/>
        <w:jc w:val="both"/>
      </w:pPr>
      <w:r>
        <w:rPr>
          <w:rFonts w:ascii="Times New Roman" w:hAnsi="Times New Roman" w:eastAsia="Times New Roman" w:cs="Times New Roman"/>
          <w:b w:val="0"/>
          <w:i w:val="0"/>
          <w:color w:val="000000"/>
          <w:sz w:val="22"/>
        </w:rPr>
        <w:t>4.2. В Приложении № 1 указываются: Проектная общая площадь Квартиры без учета площади Летних помещений; вид, этаж, местоположение и полная геометрическая площадь каждого Летнего помещения; Проектная площадь Квартиры с учетом полной площади Летних помещений без применения понижающих коэффициентов; Проектная приведенная площадь Квартиры; Проектная жилая площадь Квартиры; цена одного квадратного метра Проектной приведенной площади Квартиры; первоначальная Цена Договора.</w:t>
      </w:r>
    </w:p>
    <w:p w14:paraId="70FEC931">
      <w:pPr>
        <w:keepNext w:val="0"/>
        <w:widowControl/>
        <w:spacing w:after="60" w:line="245" w:lineRule="auto"/>
        <w:ind w:firstLine="340"/>
        <w:jc w:val="both"/>
      </w:pPr>
      <w:r>
        <w:rPr>
          <w:rFonts w:ascii="Times New Roman" w:hAnsi="Times New Roman" w:eastAsia="Times New Roman" w:cs="Times New Roman"/>
          <w:b w:val="0"/>
          <w:i w:val="0"/>
          <w:color w:val="000000"/>
          <w:sz w:val="22"/>
        </w:rPr>
        <w:t>4.3. После завершения строительства кадастровый инженер выполняет фактические измерения Квартиры и подготавливает технический план. На основании технического плана орган регистрации прав осуществляет государственный кадастровый учет Квартиры и вносит сведения о ней в ЕГРН. В ЕГРН в качестве площади жилого помещения указывается Фактическая общая площадь Квартиры без учета площади балконов, лоджий и террас. Поэтому площадь, указанная в выписке из ЕГРН, при наличии Летнего помещения закономерно будет меньше Проектной или Фактической приведенной площади Квартиры, используемой для определения Цены Договора. Такое различие обусловлено различным правовым и расчетным назначением указанных показателей, не означает фактического уменьшения состава передаваемой Квартиры, не является недостатком и само по себе не влечет возврата части Цены, взыскания убытков или неустойки, отказа от приемки либо расторжения Договора.</w:t>
      </w:r>
    </w:p>
    <w:p w14:paraId="7EE113FD">
      <w:pPr>
        <w:keepNext w:val="0"/>
        <w:widowControl/>
        <w:spacing w:after="60" w:line="245" w:lineRule="auto"/>
        <w:ind w:firstLine="340"/>
        <w:jc w:val="both"/>
      </w:pPr>
      <w:r>
        <w:rPr>
          <w:rFonts w:ascii="Times New Roman" w:hAnsi="Times New Roman" w:eastAsia="Times New Roman" w:cs="Times New Roman"/>
          <w:b w:val="0"/>
          <w:i w:val="0"/>
          <w:color w:val="000000"/>
          <w:sz w:val="22"/>
        </w:rPr>
        <w:t>4.4. Для окончательного определения площадей используются сведения технического плана, экспликации, поэтажного плана, ведомости помещений и (или) иного документа кадастрового инженера. Фактическая общая площадь Квартиры без учета площади Летних помещений определяется отдельно. Фактическая геометрическая площадь каждого Летнего помещения также определяется отдельно без применения понижающего коэффициента. Фактическая приведенная площадь Квартиры определяется путем прибавления к Фактической общей площади Квартиры без учета площади Летних помещений площади каждого балкона, умноженной на 0,3, каждой лоджии — на 0,5 и каждой террасы — на 0,3.</w:t>
      </w:r>
    </w:p>
    <w:p w14:paraId="5060C034">
      <w:pPr>
        <w:keepNext w:val="0"/>
        <w:widowControl/>
        <w:spacing w:after="60" w:line="245" w:lineRule="auto"/>
        <w:ind w:firstLine="340"/>
        <w:jc w:val="both"/>
      </w:pPr>
      <w:r>
        <w:rPr>
          <w:rFonts w:ascii="Times New Roman" w:hAnsi="Times New Roman" w:eastAsia="Times New Roman" w:cs="Times New Roman"/>
          <w:b w:val="0"/>
          <w:i w:val="0"/>
          <w:color w:val="000000"/>
          <w:sz w:val="22"/>
        </w:rPr>
        <w:t>4.5. Окончательная Цена Договора изменяется на стоимость разницы между Фактической приведенной площадью Квартиры и Проектной приведенной площадью Квартиры по формуле: изменение Цены = (Фактическая приведенная площадь Квартиры − Проектная приведенная площадь Квартиры) × цена одного квадратного метра, указанная в пункте 4.1 и Приложении № 1. Площади принимаются с точностью, указанной в документах кадастрового инженера, а итоговая сумма округляется до копеек по правилам математического округления.</w:t>
      </w:r>
    </w:p>
    <w:p w14:paraId="644F0873">
      <w:pPr>
        <w:keepNext w:val="0"/>
        <w:widowControl/>
        <w:spacing w:after="60" w:line="245" w:lineRule="auto"/>
        <w:ind w:firstLine="340"/>
        <w:jc w:val="both"/>
      </w:pPr>
      <w:r>
        <w:rPr>
          <w:rFonts w:ascii="Times New Roman" w:hAnsi="Times New Roman" w:eastAsia="Times New Roman" w:cs="Times New Roman"/>
          <w:b w:val="0"/>
          <w:i w:val="0"/>
          <w:color w:val="000000"/>
          <w:sz w:val="22"/>
        </w:rPr>
        <w:t>4.6. При увеличении Фактической приведенной площади Квартиры по сравнению с Проектной приведенной площадью Квартиры Участник обязан внести доплату в течение 10 (десяти) рабочих дней с даты получения расчета и документов, подтверждающих площадь, но в любом случае до подписания передаточного акта. При уменьшении Фактической приведенной площади Квартиры Застройщик возвращает разницу либо обеспечивает уменьшение депонируемой суммы в порядке, согласованном с Эскроу-агентом, в течение 10 (десяти) рабочих дней после оформления необходимых документов и получения от Участника реквизитов, если иной срок или порядок не установлен императивной нормой.</w:t>
      </w:r>
    </w:p>
    <w:p w14:paraId="701C4043">
      <w:pPr>
        <w:keepNext w:val="0"/>
        <w:widowControl/>
        <w:spacing w:after="60" w:line="245" w:lineRule="auto"/>
        <w:ind w:firstLine="340"/>
        <w:jc w:val="both"/>
      </w:pPr>
      <w:r>
        <w:rPr>
          <w:rFonts w:ascii="Times New Roman" w:hAnsi="Times New Roman" w:eastAsia="Times New Roman" w:cs="Times New Roman"/>
          <w:b w:val="0"/>
          <w:i w:val="0"/>
          <w:color w:val="000000"/>
          <w:sz w:val="22"/>
        </w:rPr>
        <w:t>4.7. Если изменение Цены требует корректировки суммы на счете эскроу, заключения и государственной регистрации дополнительного соглашения либо совершения действий с участием банка, кредитора или оператора электронной регистрации, Стороны обязуются совершить необходимые действия и подписать документы в предложенный обоснованный срок. Задержка, вызванная непредоставлением Участником документов, непополнением счета эскроу или неявкой для подписания, не признается просрочкой Застройщика.</w:t>
      </w:r>
    </w:p>
    <w:p w14:paraId="4404907A">
      <w:pPr>
        <w:keepNext w:val="0"/>
        <w:widowControl/>
        <w:spacing w:after="60" w:line="245" w:lineRule="auto"/>
        <w:ind w:firstLine="340"/>
        <w:jc w:val="both"/>
      </w:pPr>
      <w:r>
        <w:rPr>
          <w:rFonts w:ascii="Times New Roman" w:hAnsi="Times New Roman" w:eastAsia="Times New Roman" w:cs="Times New Roman"/>
          <w:b w:val="0"/>
          <w:i w:val="0"/>
          <w:color w:val="000000"/>
          <w:sz w:val="22"/>
        </w:rPr>
        <w:t>4.8. Для целей применения пункта 2 части 1.1 статьи 9 Закона № 214-ФЗ предельно допустимое изменение площади устанавливается в размере 5% от Проектной общей площади Квартиры без учета площади Летних помещений. Сопоставлению подлежат Проектная общая площадь Квартиры без учета площади Летних помещений и Фактическая общая площадь Квартиры без учета площади Летних помещений. Площадь балконов, лоджий и террас, а также Проектная и Фактическая приведенные площади Квартиры для определения указанного процентного предела не используются.</w:t>
      </w:r>
    </w:p>
    <w:p w14:paraId="50658622">
      <w:pPr>
        <w:keepNext w:val="0"/>
        <w:widowControl/>
        <w:spacing w:after="60" w:line="245" w:lineRule="auto"/>
        <w:ind w:firstLine="340"/>
        <w:jc w:val="both"/>
      </w:pPr>
      <w:r>
        <w:rPr>
          <w:rFonts w:ascii="Times New Roman" w:hAnsi="Times New Roman" w:eastAsia="Times New Roman" w:cs="Times New Roman"/>
          <w:b w:val="0"/>
          <w:i w:val="0"/>
          <w:color w:val="000000"/>
          <w:sz w:val="22"/>
        </w:rPr>
        <w:t>4.9. Изменение площадей отдельных комнат, кухни, коридора, санитарного узла и иных частей Квартиры, а также допустимое уточнение местоположения ненесущих перегородок, проемов, коробов, стояков и инженерных выводов не являются самостоятельным основанием для изменения Цены, отказа от приемки или расторжения Договора, если сохраняются назначение Квартиры, количество жилых комнат, ее местоположение и обязательные показатели качества и безопасности. Перерасчет производится исключительно по изменению Фактической приведенной площади Квартиры в порядке настоящего раздела.</w:t>
      </w:r>
    </w:p>
    <w:p w14:paraId="65C17E64">
      <w:pPr>
        <w:keepNext w:val="0"/>
        <w:widowControl/>
        <w:spacing w:after="60" w:line="245" w:lineRule="auto"/>
        <w:ind w:firstLine="340"/>
        <w:jc w:val="both"/>
      </w:pPr>
      <w:r>
        <w:rPr>
          <w:rFonts w:ascii="Times New Roman" w:hAnsi="Times New Roman" w:eastAsia="Times New Roman" w:cs="Times New Roman"/>
          <w:b w:val="0"/>
          <w:i w:val="0"/>
          <w:color w:val="000000"/>
          <w:sz w:val="22"/>
        </w:rPr>
        <w:t>4.10. Цена Договора включает возмещение затрат на создание Объекта и вознаграждение Застройщика. До наступления предусмотренных законом оснований раскрытия счета эскроу денежные средства Участника учитываются и блокируются Эскроу-агентом и не находятся в свободном распоряжении Застройщика.</w:t>
      </w:r>
    </w:p>
    <w:p w14:paraId="7D98A132">
      <w:pPr>
        <w:keepNext w:val="0"/>
        <w:widowControl/>
        <w:spacing w:after="60" w:line="245" w:lineRule="auto"/>
        <w:ind w:firstLine="340"/>
        <w:jc w:val="both"/>
      </w:pPr>
      <w:r>
        <w:rPr>
          <w:rFonts w:ascii="Times New Roman" w:hAnsi="Times New Roman" w:eastAsia="Times New Roman" w:cs="Times New Roman"/>
          <w:b w:val="0"/>
          <w:i w:val="0"/>
          <w:color w:val="000000"/>
          <w:sz w:val="22"/>
        </w:rPr>
        <w:t>4.11. Застройщик вправе финансировать строительство собственными и привлеченными в установленном законом порядке средствами. Использование таких средств не создает для Участника обязанности возмещать затраты сверх Цены Договора, кроме изменения Цены в прямо предусмотренных Договором и законом случаях.</w:t>
      </w:r>
    </w:p>
    <w:p w14:paraId="1DC4F662">
      <w:pPr>
        <w:keepNext w:val="0"/>
        <w:widowControl/>
        <w:spacing w:after="60" w:line="245" w:lineRule="auto"/>
        <w:ind w:firstLine="340"/>
        <w:jc w:val="both"/>
      </w:pPr>
      <w:r>
        <w:rPr>
          <w:rFonts w:ascii="Times New Roman" w:hAnsi="Times New Roman" w:eastAsia="Times New Roman" w:cs="Times New Roman"/>
          <w:b w:val="0"/>
          <w:i w:val="0"/>
          <w:color w:val="000000"/>
          <w:sz w:val="22"/>
        </w:rPr>
        <w:t xml:space="preserve">4.12. В составе первоначальной Цены Договора вознаграждение Застройщика составляет </w:t>
      </w:r>
      <w:r>
        <w:rPr>
          <w:rFonts w:hint="default" w:eastAsia="Times New Roman" w:cs="Times New Roman"/>
          <w:b w:val="0"/>
          <w:i w:val="0"/>
          <w:color w:val="000000"/>
          <w:sz w:val="22"/>
          <w:lang w:val="ru-RU"/>
        </w:rPr>
        <w:t>7</w:t>
      </w:r>
      <w:r>
        <w:rPr>
          <w:rFonts w:ascii="Times New Roman" w:hAnsi="Times New Roman" w:eastAsia="Times New Roman" w:cs="Times New Roman"/>
          <w:b w:val="0"/>
          <w:i w:val="0"/>
          <w:color w:val="000000"/>
          <w:sz w:val="22"/>
        </w:rPr>
        <w:t xml:space="preserve"> (</w:t>
      </w:r>
      <w:r>
        <w:rPr>
          <w:rFonts w:eastAsia="Times New Roman" w:cs="Times New Roman"/>
          <w:b w:val="0"/>
          <w:i w:val="0"/>
          <w:color w:val="000000"/>
          <w:sz w:val="22"/>
          <w:lang w:val="ru-RU"/>
        </w:rPr>
        <w:t>семь</w:t>
      </w:r>
      <w:r>
        <w:rPr>
          <w:rFonts w:ascii="Times New Roman" w:hAnsi="Times New Roman" w:eastAsia="Times New Roman" w:cs="Times New Roman"/>
          <w:b w:val="0"/>
          <w:i w:val="0"/>
          <w:color w:val="000000"/>
          <w:sz w:val="22"/>
        </w:rPr>
        <w:t>) процентов, а остальная часть предназначена для возмещения затрат на строительство. Сумма указанного вознаграждения, определенная на дату заключения Договора, является фиксированной. Распоряжение денежными средствами, включая вознаграждение, допускается только после их перечисления Эскроу-агентом при наступлении установленных законом оснований. Отдельная оплата Участником вознаграждения сверх Цены Договора не производится.</w:t>
      </w:r>
    </w:p>
    <w:p w14:paraId="2290BD0F">
      <w:pPr>
        <w:keepNext w:val="0"/>
        <w:widowControl/>
        <w:spacing w:after="60" w:line="245" w:lineRule="auto"/>
        <w:ind w:firstLine="340"/>
        <w:jc w:val="both"/>
      </w:pPr>
      <w:r>
        <w:rPr>
          <w:rFonts w:ascii="Times New Roman" w:hAnsi="Times New Roman" w:eastAsia="Times New Roman" w:cs="Times New Roman"/>
          <w:b w:val="0"/>
          <w:i w:val="0"/>
          <w:color w:val="000000"/>
          <w:sz w:val="22"/>
        </w:rPr>
        <w:t>4.13. Экономия, образовавшаяся по окончании строительства как положительная разница между предусмотренной в Цене Договора суммой покрытия затрат и фактическими расходами Застройщика, остается у Застройщика в качестве дополнительной части его вознаграждения. Перерасход Застройщика Участником не компенсируется и сам по себе не изменяет Цену Договора.</w:t>
      </w:r>
    </w:p>
    <w:p w14:paraId="690F6067">
      <w:pPr>
        <w:pStyle w:val="2"/>
        <w:keepNext/>
        <w:widowControl/>
        <w:spacing w:before="160" w:after="80" w:line="245" w:lineRule="auto"/>
        <w:ind w:firstLine="0"/>
        <w:jc w:val="left"/>
      </w:pPr>
      <w:r>
        <w:rPr>
          <w:rFonts w:ascii="Times New Roman" w:hAnsi="Times New Roman" w:eastAsia="Times New Roman" w:cs="Times New Roman"/>
          <w:b/>
          <w:i w:val="0"/>
          <w:color w:val="000000"/>
          <w:sz w:val="22"/>
        </w:rPr>
        <w:t>5. РАСЧЕТЫ ЧЕРЕЗ СЧЕТ ЭСКРОУ</w:t>
      </w:r>
    </w:p>
    <w:p w14:paraId="2122BBA4">
      <w:pPr>
        <w:keepNext w:val="0"/>
        <w:widowControl/>
        <w:spacing w:after="60" w:line="245" w:lineRule="auto"/>
        <w:ind w:firstLine="340"/>
        <w:jc w:val="both"/>
      </w:pPr>
      <w:r>
        <w:rPr>
          <w:rFonts w:ascii="Times New Roman" w:hAnsi="Times New Roman" w:eastAsia="Times New Roman" w:cs="Times New Roman"/>
          <w:b w:val="0"/>
          <w:i w:val="0"/>
          <w:color w:val="000000"/>
          <w:sz w:val="22"/>
        </w:rPr>
        <w:t>5.1. Денежные средства в счет уплаты Цены Договора вносятся на счет эскроу, открываемый Участником в уполномоченном банке — Публичное акционерное общество «Сбербанк России» (ПАО Сбербанк), Калининградское отделение № 8626, ИНН 7707083893, ОГРН 1027700132195 (далее — «Эскроу-агент»). Место нахождения банка: 117312, г. Москва, ул. Вавилова, д. 19; электронная почта банка: sberbank@sberbank.ru; телефоны: +7 (495) 957-57-31, +7 (495) 747-37-31. Сведения об Эскроу-агенте указываются также в Приложении № 1. Индивидуальные платежные реквизиты счета эскроу определяются договором счета эскроу и документами Эскроу-агента и доводятся до Участника вне настоящего Договора до наступления срока первого платежа. Номер счета эскроу в настоящем Договоре и приложениях к нему не указывается; его присвоение либо изменение в установленном законом порядке не требует внесения изменений в настоящий Договор, если не изменяются подлежащие согласованию условия Договора. Расчетный счет Застройщика в разделе 21 не является счетом эскроу и не используется для первоначальной оплаты Цены Договора.</w:t>
      </w:r>
    </w:p>
    <w:p w14:paraId="1D406E4A">
      <w:pPr>
        <w:keepNext w:val="0"/>
        <w:widowControl/>
        <w:spacing w:after="60" w:line="245" w:lineRule="auto"/>
        <w:ind w:firstLine="340"/>
        <w:jc w:val="both"/>
      </w:pPr>
      <w:r>
        <w:rPr>
          <w:rFonts w:ascii="Times New Roman" w:hAnsi="Times New Roman" w:eastAsia="Times New Roman" w:cs="Times New Roman"/>
          <w:b w:val="0"/>
          <w:i w:val="0"/>
          <w:color w:val="000000"/>
          <w:sz w:val="22"/>
        </w:rPr>
        <w:t xml:space="preserve">5.2. Депонент — Участник; Бенефициар — Застройщик; депонируемая сумма — Цена Договора с учетом изменения в порядке раздела 4. Срок условного депонирования — до </w:t>
      </w:r>
      <w:r>
        <w:rPr>
          <w:rFonts w:ascii="Times New Roman" w:hAnsi="Times New Roman" w:eastAsia="Times New Roman" w:cs="Times New Roman"/>
          <w:b w:val="0"/>
          <w:i w:val="0"/>
          <w:color w:val="000000"/>
          <w:sz w:val="22"/>
          <w:highlight w:val="yellow"/>
        </w:rPr>
        <w:t>[ЗАПОЛНИТЬ: календарная дата по договору счета эскроу]</w:t>
      </w:r>
      <w:r>
        <w:rPr>
          <w:rFonts w:ascii="Times New Roman" w:hAnsi="Times New Roman" w:eastAsia="Times New Roman" w:cs="Times New Roman"/>
          <w:b w:val="0"/>
          <w:i w:val="0"/>
          <w:color w:val="000000"/>
          <w:sz w:val="22"/>
        </w:rPr>
        <w:t>. Первоначальный срок условного депонирования не может превышать более чем на шесть месяцев срок ввода Дома в эксплуатацию, указанный в проектной декларации. Продление осуществляется по заявлению Участника в случаях и пределах, предусмотренных частью 4 статьи 15.5 Закона № 214-ФЗ. Срок ввода Дома, срок передачи Квартиры и срок условного депонирования являются различными сроками.</w:t>
      </w:r>
    </w:p>
    <w:p w14:paraId="33283CB2">
      <w:pPr>
        <w:keepNext w:val="0"/>
        <w:widowControl/>
        <w:spacing w:after="60" w:line="245" w:lineRule="auto"/>
        <w:ind w:firstLine="340"/>
        <w:jc w:val="both"/>
      </w:pPr>
      <w:r>
        <w:rPr>
          <w:rFonts w:ascii="Times New Roman" w:hAnsi="Times New Roman" w:eastAsia="Times New Roman" w:cs="Times New Roman"/>
          <w:b w:val="0"/>
          <w:i w:val="0"/>
          <w:color w:val="000000"/>
          <w:sz w:val="22"/>
        </w:rPr>
        <w:t xml:space="preserve">5.3. Цена Договора оплачивается без рассрочки после государственной регистрации Договора в следующем порядке: </w:t>
      </w:r>
      <w:r>
        <w:rPr>
          <w:rFonts w:ascii="Times New Roman" w:hAnsi="Times New Roman" w:eastAsia="Times New Roman" w:cs="Times New Roman"/>
          <w:b w:val="0"/>
          <w:i w:val="0"/>
          <w:color w:val="000000"/>
          <w:sz w:val="22"/>
          <w:highlight w:val="yellow"/>
        </w:rPr>
        <w:t>[ЗАПОЛНИТЬ: сумма собственных средств]</w:t>
      </w:r>
      <w:r>
        <w:rPr>
          <w:rFonts w:ascii="Times New Roman" w:hAnsi="Times New Roman" w:eastAsia="Times New Roman" w:cs="Times New Roman"/>
          <w:b w:val="0"/>
          <w:i w:val="0"/>
          <w:color w:val="000000"/>
          <w:sz w:val="22"/>
        </w:rPr>
        <w:t xml:space="preserve"> рублей — в течение </w:t>
      </w:r>
      <w:r>
        <w:rPr>
          <w:rFonts w:ascii="Times New Roman" w:hAnsi="Times New Roman" w:eastAsia="Times New Roman" w:cs="Times New Roman"/>
          <w:b w:val="0"/>
          <w:i w:val="0"/>
          <w:color w:val="000000"/>
          <w:sz w:val="22"/>
          <w:highlight w:val="yellow"/>
        </w:rPr>
        <w:t>[ЗАПОЛНИТЬ: количество]</w:t>
      </w:r>
      <w:r>
        <w:rPr>
          <w:rFonts w:ascii="Times New Roman" w:hAnsi="Times New Roman" w:eastAsia="Times New Roman" w:cs="Times New Roman"/>
          <w:b w:val="0"/>
          <w:i w:val="0"/>
          <w:color w:val="000000"/>
          <w:sz w:val="22"/>
        </w:rPr>
        <w:t xml:space="preserve"> рабочих дней со дня государственной регистрации; </w:t>
      </w:r>
      <w:r>
        <w:rPr>
          <w:rFonts w:ascii="Times New Roman" w:hAnsi="Times New Roman" w:eastAsia="Times New Roman" w:cs="Times New Roman"/>
          <w:b w:val="0"/>
          <w:i w:val="0"/>
          <w:color w:val="000000"/>
          <w:sz w:val="22"/>
          <w:highlight w:val="yellow"/>
        </w:rPr>
        <w:t>[ЗАПОЛНИТЬ: сумма кредитных средств либо «не применяется»]</w:t>
      </w:r>
      <w:r>
        <w:rPr>
          <w:rFonts w:ascii="Times New Roman" w:hAnsi="Times New Roman" w:eastAsia="Times New Roman" w:cs="Times New Roman"/>
          <w:b w:val="0"/>
          <w:i w:val="0"/>
          <w:color w:val="000000"/>
          <w:sz w:val="22"/>
        </w:rPr>
        <w:t xml:space="preserve"> рублей — в течение </w:t>
      </w:r>
      <w:r>
        <w:rPr>
          <w:rFonts w:ascii="Times New Roman" w:hAnsi="Times New Roman" w:eastAsia="Times New Roman" w:cs="Times New Roman"/>
          <w:b w:val="0"/>
          <w:i w:val="0"/>
          <w:color w:val="000000"/>
          <w:sz w:val="22"/>
          <w:highlight w:val="yellow"/>
        </w:rPr>
        <w:t>[ЗАПОЛНИТЬ: количество]</w:t>
      </w:r>
      <w:r>
        <w:rPr>
          <w:rFonts w:ascii="Times New Roman" w:hAnsi="Times New Roman" w:eastAsia="Times New Roman" w:cs="Times New Roman"/>
          <w:b w:val="0"/>
          <w:i w:val="0"/>
          <w:color w:val="000000"/>
          <w:sz w:val="22"/>
        </w:rPr>
        <w:t xml:space="preserve"> рабочих дней со дня государственной регистрации за счет кредита </w:t>
      </w:r>
      <w:r>
        <w:rPr>
          <w:rFonts w:ascii="Times New Roman" w:hAnsi="Times New Roman" w:eastAsia="Times New Roman" w:cs="Times New Roman"/>
          <w:b w:val="0"/>
          <w:i w:val="0"/>
          <w:color w:val="000000"/>
          <w:sz w:val="22"/>
          <w:highlight w:val="yellow"/>
        </w:rPr>
        <w:t>[ЗАПОЛНИТЬ: банк, номер и дата кредитного договора либо «не применяется»]</w:t>
      </w:r>
      <w:r>
        <w:rPr>
          <w:rFonts w:ascii="Times New Roman" w:hAnsi="Times New Roman" w:eastAsia="Times New Roman" w:cs="Times New Roman"/>
          <w:b w:val="0"/>
          <w:i w:val="0"/>
          <w:color w:val="000000"/>
          <w:sz w:val="22"/>
        </w:rPr>
        <w:t>. Совокупная сумма платежей равна Цене Договора. При полной оплате собственными средствами кредитная часть равна нулю. Условия ипотеки прав требования и приобретаемой Квартиры, а также возврата кредитных средств при прекращении Договора указываются в Приложении № 1 и документах банка.</w:t>
      </w:r>
    </w:p>
    <w:p w14:paraId="72E0C72B">
      <w:pPr>
        <w:keepNext w:val="0"/>
        <w:widowControl/>
        <w:spacing w:after="60" w:line="245" w:lineRule="auto"/>
        <w:ind w:firstLine="340"/>
        <w:jc w:val="both"/>
      </w:pPr>
      <w:r>
        <w:rPr>
          <w:rFonts w:ascii="Times New Roman" w:hAnsi="Times New Roman" w:eastAsia="Times New Roman" w:cs="Times New Roman"/>
          <w:b w:val="0"/>
          <w:i w:val="0"/>
          <w:color w:val="000000"/>
          <w:sz w:val="22"/>
        </w:rPr>
        <w:t>5.4. Обязанность Участника по уплате соответствующей части Цены считается исполненной с момента зачисления денежных средств на счет эскроу. Направление платежного поручения без фактического зачисления средств не является оплатой.</w:t>
      </w:r>
    </w:p>
    <w:p w14:paraId="3A6AFA68">
      <w:pPr>
        <w:keepNext w:val="0"/>
        <w:widowControl/>
        <w:spacing w:after="60" w:line="245" w:lineRule="auto"/>
        <w:ind w:firstLine="340"/>
        <w:jc w:val="both"/>
      </w:pPr>
      <w:r>
        <w:rPr>
          <w:rFonts w:ascii="Times New Roman" w:hAnsi="Times New Roman" w:eastAsia="Times New Roman" w:cs="Times New Roman"/>
          <w:b w:val="0"/>
          <w:i w:val="0"/>
          <w:color w:val="000000"/>
          <w:sz w:val="22"/>
        </w:rPr>
        <w:t>5.5. Участник обязан своевременно открыть счет эскроу, представить Эскроу-агенту документы и сведения, необходимые для идентификации, валютного и банковского контроля, исполнения законодательства о противодействии легализации доходов, а при ипотечном кредитовании — исполнить требования кредитного договора.</w:t>
      </w:r>
    </w:p>
    <w:p w14:paraId="5EEE3EAC">
      <w:pPr>
        <w:keepNext w:val="0"/>
        <w:widowControl/>
        <w:spacing w:after="60" w:line="245" w:lineRule="auto"/>
        <w:ind w:firstLine="340"/>
        <w:jc w:val="both"/>
      </w:pPr>
      <w:r>
        <w:rPr>
          <w:rFonts w:ascii="Times New Roman" w:hAnsi="Times New Roman" w:eastAsia="Times New Roman" w:cs="Times New Roman"/>
          <w:b w:val="0"/>
          <w:i w:val="0"/>
          <w:color w:val="000000"/>
          <w:sz w:val="22"/>
        </w:rPr>
        <w:t>5.6. Денежные средства перечисляются Застройщику Эскроу-агентом при наступлении оснований, предусмотренных Законом № 214-ФЗ и договором счета эскроу. Участник не вправе давать распоряжения о перечислении или возврате денежных средств иначе, чем предусмотрено законом и договором счета эскроу.</w:t>
      </w:r>
    </w:p>
    <w:p w14:paraId="6625C67F">
      <w:pPr>
        <w:keepNext w:val="0"/>
        <w:widowControl/>
        <w:spacing w:after="60" w:line="245" w:lineRule="auto"/>
        <w:ind w:firstLine="340"/>
        <w:jc w:val="both"/>
      </w:pPr>
      <w:r>
        <w:rPr>
          <w:rFonts w:ascii="Times New Roman" w:hAnsi="Times New Roman" w:eastAsia="Times New Roman" w:cs="Times New Roman"/>
          <w:b w:val="0"/>
          <w:i w:val="0"/>
          <w:color w:val="000000"/>
          <w:sz w:val="22"/>
        </w:rPr>
        <w:t>5.7. При наступлении страхового случая в отношении Эскроу-агента и в иных предусмотренных законом случаях замены банка Стороны заключают договор счета эскроу с другим уполномоченным банком и совершают необходимые действия в порядке и сроки, установленные Законом № 214-ФЗ и законодательством о страховании вкладов.</w:t>
      </w:r>
    </w:p>
    <w:p w14:paraId="22031009">
      <w:pPr>
        <w:keepNext w:val="0"/>
        <w:widowControl/>
        <w:spacing w:after="60" w:line="245" w:lineRule="auto"/>
        <w:ind w:firstLine="340"/>
        <w:jc w:val="both"/>
      </w:pPr>
      <w:r>
        <w:rPr>
          <w:rFonts w:ascii="Times New Roman" w:hAnsi="Times New Roman" w:eastAsia="Times New Roman" w:cs="Times New Roman"/>
          <w:b w:val="0"/>
          <w:i w:val="0"/>
          <w:color w:val="000000"/>
          <w:sz w:val="22"/>
        </w:rPr>
        <w:t>5.8. Вознаграждение Эскроу-агенту по счету эскроу не выплачивается; проценты на депонированную сумму не начисляются. Расходы Участника по ипотечному кредитованию, страхованию, оценке, электронной регистрации и иным отдельно заказанным услугам оплачиваются им самостоятельно в случаях, допускаемых законом, и не включаются в Цену Договора. Услуги, приобретение которых не обязательно по закону или согласованным условиям кредитования, не навязываются Участнику.</w:t>
      </w:r>
    </w:p>
    <w:p w14:paraId="7504FE19">
      <w:pPr>
        <w:pStyle w:val="2"/>
        <w:keepNext/>
        <w:widowControl/>
        <w:spacing w:before="160" w:after="80" w:line="245" w:lineRule="auto"/>
        <w:ind w:firstLine="0"/>
        <w:jc w:val="left"/>
      </w:pPr>
      <w:r>
        <w:rPr>
          <w:rFonts w:ascii="Times New Roman" w:hAnsi="Times New Roman" w:eastAsia="Times New Roman" w:cs="Times New Roman"/>
          <w:b/>
          <w:i w:val="0"/>
          <w:color w:val="000000"/>
          <w:sz w:val="22"/>
        </w:rPr>
        <w:t>6. СРОК И ПОРЯДОК ПЕРЕДАЧИ ОБЪЕКТА</w:t>
      </w:r>
    </w:p>
    <w:p w14:paraId="7DF174F8">
      <w:pPr>
        <w:keepNext w:val="0"/>
        <w:widowControl/>
        <w:spacing w:after="60" w:line="245" w:lineRule="auto"/>
        <w:ind w:firstLine="340"/>
        <w:jc w:val="both"/>
        <w:rPr>
          <w:rFonts w:ascii="Times New Roman" w:hAnsi="Times New Roman" w:eastAsia="Times New Roman" w:cs="Times New Roman"/>
          <w:b w:val="0"/>
          <w:i w:val="0"/>
          <w:color w:val="000000"/>
          <w:sz w:val="22"/>
        </w:rPr>
      </w:pPr>
      <w:r>
        <w:rPr>
          <w:rFonts w:ascii="Times New Roman" w:hAnsi="Times New Roman" w:eastAsia="Times New Roman" w:cs="Times New Roman"/>
          <w:b w:val="0"/>
          <w:i w:val="0"/>
          <w:color w:val="000000"/>
          <w:sz w:val="22"/>
        </w:rPr>
        <w:t xml:space="preserve">6.1. Предельный срок передачи Квартиры Участнику — не позднее 08 сентября 2029 года. </w:t>
      </w:r>
    </w:p>
    <w:p w14:paraId="7D0B9C7E">
      <w:pPr>
        <w:keepNext w:val="0"/>
        <w:widowControl/>
        <w:spacing w:after="60" w:line="245" w:lineRule="auto"/>
        <w:ind w:firstLine="340"/>
        <w:jc w:val="both"/>
      </w:pPr>
      <w:r>
        <w:rPr>
          <w:rFonts w:ascii="Times New Roman" w:hAnsi="Times New Roman" w:eastAsia="Times New Roman" w:cs="Times New Roman"/>
          <w:b w:val="0"/>
          <w:i w:val="0"/>
          <w:color w:val="000000"/>
          <w:sz w:val="22"/>
        </w:rPr>
        <w:t>6.2. Застройщик вправе завершить строительство и передать Объект досрочно. Подписанием Договора Участник выражает согласие на досрочную передачу при наличии разрешения на ввод Дома в эксплуатацию.</w:t>
      </w:r>
    </w:p>
    <w:p w14:paraId="6BC413A0">
      <w:pPr>
        <w:keepNext w:val="0"/>
        <w:widowControl/>
        <w:spacing w:after="60" w:line="245" w:lineRule="auto"/>
        <w:ind w:firstLine="340"/>
        <w:jc w:val="both"/>
      </w:pPr>
      <w:r>
        <w:rPr>
          <w:rFonts w:ascii="Times New Roman" w:hAnsi="Times New Roman" w:eastAsia="Times New Roman" w:cs="Times New Roman"/>
          <w:b w:val="0"/>
          <w:i w:val="0"/>
          <w:color w:val="000000"/>
          <w:sz w:val="22"/>
        </w:rPr>
        <w:t>6.3. Передача осуществляется по передаточному акту после получения разрешения на ввод Дома в эксплуатацию, при фактической готовности Квартиры к передаче и исполнении Участником наступивших обязательств по оплате, включая предусмотренный разделом 4 перерасчет. Застройщик обеспечивает осуществление государственного кадастрового учета в установленном законом порядке. Незавершение кадастрового учета по причинам на стороне Застройщика не продлевает предельный срок передачи Квартиры.</w:t>
      </w:r>
    </w:p>
    <w:p w14:paraId="75B4FF25">
      <w:pPr>
        <w:keepNext w:val="0"/>
        <w:widowControl/>
        <w:spacing w:after="60" w:line="245" w:lineRule="auto"/>
        <w:ind w:firstLine="340"/>
        <w:jc w:val="both"/>
      </w:pPr>
      <w:r>
        <w:rPr>
          <w:rFonts w:ascii="Times New Roman" w:hAnsi="Times New Roman" w:eastAsia="Times New Roman" w:cs="Times New Roman"/>
          <w:b w:val="0"/>
          <w:i w:val="0"/>
          <w:color w:val="000000"/>
          <w:sz w:val="22"/>
        </w:rPr>
        <w:t>6.3.1. При наличии просроченной задолженности по Цене Договора, включая наступившую и документально подтвержденную доплату по пункту 4.6, Застройщик вправе приостановить встречную передачу Объекта на основании статьи 328 Гражданского кодекса Российской Федерации в пределах, допускаемых законом. Участнику направляется письменное уведомление с основанием, расчетом задолженности и реквизитами оплаты. Обязательства, срок исполнения которых не наступил, не служат основанием для приостановления.</w:t>
      </w:r>
    </w:p>
    <w:p w14:paraId="21BF7C55">
      <w:pPr>
        <w:keepNext w:val="0"/>
        <w:widowControl/>
        <w:spacing w:after="60" w:line="245" w:lineRule="auto"/>
        <w:ind w:firstLine="340"/>
        <w:jc w:val="both"/>
      </w:pPr>
      <w:r>
        <w:rPr>
          <w:rFonts w:ascii="Times New Roman" w:hAnsi="Times New Roman" w:eastAsia="Times New Roman" w:cs="Times New Roman"/>
          <w:b w:val="0"/>
          <w:i w:val="0"/>
          <w:color w:val="000000"/>
          <w:sz w:val="22"/>
        </w:rPr>
        <w:t>Застройщик не считается допустившим просрочку только в той части и за тот период, в которых непередача действительно вызвана правомерным приостановлением из-за просроченной оплаты. После погашения задолженности фактически готовая Квартира передается в течение 10 (десяти) рабочих дней при наличии разрешения на ввод; это не продлевает предельный срок передачи в иных случаях. Само по себе наличие спора о неустойке или убытках не допускает удержания Квартиры после надлежащего исполнения Цены Договора.</w:t>
      </w:r>
    </w:p>
    <w:p w14:paraId="0DD870DB">
      <w:pPr>
        <w:keepNext w:val="0"/>
        <w:widowControl/>
        <w:spacing w:after="60" w:line="245" w:lineRule="auto"/>
        <w:ind w:firstLine="340"/>
        <w:jc w:val="both"/>
      </w:pPr>
      <w:r>
        <w:rPr>
          <w:rFonts w:ascii="Times New Roman" w:hAnsi="Times New Roman" w:eastAsia="Times New Roman" w:cs="Times New Roman"/>
          <w:b w:val="0"/>
          <w:i w:val="0"/>
          <w:color w:val="000000"/>
          <w:sz w:val="22"/>
        </w:rPr>
        <w:t>6.4. Застройщик направляет сообщение о завершении строительства и готовности Объекта к передаче в порядке и сроки, установленные статьей 8 Закона № 214-ФЗ. Электронное сообщение, СМС или уведомление в мессенджере может направляться дополнительно и не заменяет обязательный законом способ, если иное будет разрешено законодательством.</w:t>
      </w:r>
    </w:p>
    <w:p w14:paraId="50C85363">
      <w:pPr>
        <w:keepNext w:val="0"/>
        <w:widowControl/>
        <w:spacing w:after="60" w:line="245" w:lineRule="auto"/>
        <w:ind w:firstLine="340"/>
        <w:jc w:val="both"/>
      </w:pPr>
      <w:r>
        <w:rPr>
          <w:rFonts w:ascii="Times New Roman" w:hAnsi="Times New Roman" w:eastAsia="Times New Roman" w:cs="Times New Roman"/>
          <w:b w:val="0"/>
          <w:i w:val="0"/>
          <w:color w:val="000000"/>
          <w:sz w:val="22"/>
        </w:rPr>
        <w:t>6.5. Участник обязан приступить к приемке в течение 7 (семи) рабочих дней со дня получения предусмотренного статьей 8 Закона № 214-ФЗ сообщения, если Стороны письменно не согласовали иной допустимый законом срок. При осмотре Участник вправе требовать составления акта несоответствий и реализовать права, предусмотренные статьями 7 и 8 Закона № 214-ФЗ.</w:t>
      </w:r>
    </w:p>
    <w:p w14:paraId="40B2C6AF">
      <w:pPr>
        <w:keepNext w:val="0"/>
        <w:widowControl/>
        <w:spacing w:after="60" w:line="245" w:lineRule="auto"/>
        <w:ind w:firstLine="340"/>
        <w:jc w:val="both"/>
      </w:pPr>
      <w:r>
        <w:rPr>
          <w:rFonts w:ascii="Times New Roman" w:hAnsi="Times New Roman" w:eastAsia="Times New Roman" w:cs="Times New Roman"/>
          <w:b w:val="0"/>
          <w:i w:val="0"/>
          <w:color w:val="000000"/>
          <w:sz w:val="22"/>
        </w:rPr>
        <w:t>6.6. Фактическое выполнение строительных работ оценивается с учетом обязательных требований, проектной и рабочей документации, применимых строительных допусков, методов измерения, технических условий и допусков изготовителей. Отклонения, находящиеся в допустимых пределах и не ухудшающие безопасность, обязательные эксплуатационные характеристики и пригодность Квартиры для проживания, не являются недостатками или существенным изменением Объекта.</w:t>
      </w:r>
    </w:p>
    <w:p w14:paraId="3A87770C">
      <w:pPr>
        <w:keepNext w:val="0"/>
        <w:widowControl/>
        <w:spacing w:after="60" w:line="245" w:lineRule="auto"/>
        <w:ind w:firstLine="340"/>
        <w:jc w:val="both"/>
      </w:pPr>
      <w:r>
        <w:rPr>
          <w:rFonts w:ascii="Times New Roman" w:hAnsi="Times New Roman" w:eastAsia="Times New Roman" w:cs="Times New Roman"/>
          <w:b w:val="0"/>
          <w:i w:val="0"/>
          <w:color w:val="000000"/>
          <w:sz w:val="22"/>
        </w:rPr>
        <w:t>6.6.1. Предусмотренная Договором степень готовности, отсутствие чистовой отделки, необходимость последующей подготовки поверхностей под выбранные Участником покрытия, а также устранимые уборкой загрязнения и следы строительного процесса в Квартире и Летних помещениях, указанные в разделе 14 и Приложении № 3, являются согласованными характеристиками Объекта и не образуют недостатка, основания для отказа от приемки, изменения Цены или расторжения Договора.</w:t>
      </w:r>
    </w:p>
    <w:p w14:paraId="28199F07">
      <w:pPr>
        <w:keepNext w:val="0"/>
        <w:widowControl/>
        <w:spacing w:after="60" w:line="245" w:lineRule="auto"/>
        <w:ind w:firstLine="340"/>
        <w:jc w:val="both"/>
      </w:pPr>
      <w:r>
        <w:rPr>
          <w:rFonts w:ascii="Times New Roman" w:hAnsi="Times New Roman" w:eastAsia="Times New Roman" w:cs="Times New Roman"/>
          <w:b w:val="0"/>
          <w:i w:val="0"/>
          <w:color w:val="000000"/>
          <w:sz w:val="22"/>
        </w:rPr>
        <w:t>6.6.2. Выявленное несоответствие, которое действительно выходит за пределы допустимых требований и относится к ответственности Застройщика, оформляется и устраняется в порядке Закона № 214-ФЗ.</w:t>
      </w:r>
    </w:p>
    <w:p w14:paraId="321076B8">
      <w:pPr>
        <w:keepNext w:val="0"/>
        <w:widowControl/>
        <w:spacing w:after="60" w:line="245" w:lineRule="auto"/>
        <w:ind w:firstLine="340"/>
        <w:jc w:val="both"/>
      </w:pPr>
      <w:r>
        <w:rPr>
          <w:rFonts w:ascii="Times New Roman" w:hAnsi="Times New Roman" w:eastAsia="Times New Roman" w:cs="Times New Roman"/>
          <w:b w:val="0"/>
          <w:i w:val="0"/>
          <w:color w:val="000000"/>
          <w:sz w:val="22"/>
        </w:rPr>
        <w:t>6.6.3. Если выявленное несоответствие не является существенным, Стороны в качестве первоочередного способа восстановления качества согласовывают безвозмездное устранение подтвержденного недостатка Застройщиком в разумный срок с учетом характера и технологии работ. Участник обязан обеспечить доступ и не препятствовать устранению. Иные требования рассматриваются в случаях и порядке, предусмотренных статьей 7 Закона № 214-ФЗ.</w:t>
      </w:r>
    </w:p>
    <w:p w14:paraId="2CF3CC65">
      <w:pPr>
        <w:keepNext w:val="0"/>
        <w:widowControl/>
        <w:spacing w:after="60" w:line="245" w:lineRule="auto"/>
        <w:ind w:firstLine="340"/>
        <w:jc w:val="both"/>
      </w:pPr>
      <w:r>
        <w:rPr>
          <w:rFonts w:ascii="Times New Roman" w:hAnsi="Times New Roman" w:eastAsia="Times New Roman" w:cs="Times New Roman"/>
          <w:b w:val="0"/>
          <w:i w:val="0"/>
          <w:color w:val="000000"/>
          <w:sz w:val="22"/>
        </w:rPr>
        <w:t>6.6.4. Временное отсутствие в момент осмотра или передачи фактической подачи электрической энергии, газа, холодной воды, тепловой энергии, горячей воды либо временная невозможность индивидуального пуска, настройки, опломбировки или проверки внутриквартирного инженерного оборудования само по себе не признается существенным нарушением требований к качеству и не является основанием для отказа от приемки Объекта при одновременном наличии следующих условий: Дом введен в эксплуатацию; предусмотренные проектом внутридомовые и внутриквартирные сети, вводы и оборудование, относящиеся к обязательствам Застройщика, выполнены и технически готовы; временное отсутствие ресурса связано с аварийным или технологическим перерывом, графиком либо действиями ресурсоснабжающей, сетевой, управляющей или специализированной организации, оформлением лицевого счета, заключением обязательного договора, допуском, инструктажем, пусконаладкой или опломбировкой; такое обстоятельство не вызвано неустраненным недостатком, за который отвечает Застройщик, не создает угрозы безопасности и не свидетельствует об отсутствии предусмотренного проектом подключения. Соответствующее обстоятельство и имеющаяся информация о предполагаемом порядке начала подачи ресурса фиксируются в документе осмотра или передачи. Настоящий пункт не ограничивает права Участника при доказанном отсутствии проектного подключения, дефекте инженерной системы, за который отвечает Застройщик, либо ином нарушении, делающем Объект непригодным для предусмотренного Договором использования.</w:t>
      </w:r>
    </w:p>
    <w:p w14:paraId="6A32908F">
      <w:pPr>
        <w:keepNext w:val="0"/>
        <w:widowControl/>
        <w:spacing w:after="60" w:line="245" w:lineRule="auto"/>
        <w:ind w:firstLine="340"/>
        <w:jc w:val="both"/>
      </w:pPr>
      <w:r>
        <w:rPr>
          <w:rFonts w:ascii="Times New Roman" w:hAnsi="Times New Roman" w:eastAsia="Times New Roman" w:cs="Times New Roman"/>
          <w:b w:val="0"/>
          <w:i w:val="0"/>
          <w:color w:val="000000"/>
          <w:sz w:val="22"/>
        </w:rPr>
        <w:t>6.7. При уклонении Участника от принятия Объекта или необоснованном отказе от принятия Застройщик вправе составить односторонний акт при наличии условий, установленных частью 6 статьи 8 Закона № 214-ФЗ.</w:t>
      </w:r>
    </w:p>
    <w:p w14:paraId="6884D4A0">
      <w:pPr>
        <w:keepNext w:val="0"/>
        <w:widowControl/>
        <w:spacing w:after="60" w:line="245" w:lineRule="auto"/>
        <w:ind w:firstLine="340"/>
        <w:jc w:val="both"/>
      </w:pPr>
      <w:r>
        <w:rPr>
          <w:rFonts w:ascii="Times New Roman" w:hAnsi="Times New Roman" w:eastAsia="Times New Roman" w:cs="Times New Roman"/>
          <w:b w:val="0"/>
          <w:i w:val="0"/>
          <w:color w:val="000000"/>
          <w:sz w:val="22"/>
        </w:rPr>
        <w:t>6.8. С даты подписания передаточного акта либо составления правомерного одностороннего акта к Участнику переходят риск случайной гибели и повреждения Объекта, бремя его содержания, обязанность оплачивать жилое помещение, коммунальные ресурсы, содержание общего имущества и иные платежи, предусмотренные законом.</w:t>
      </w:r>
    </w:p>
    <w:p w14:paraId="61B68E18">
      <w:pPr>
        <w:keepNext w:val="0"/>
        <w:widowControl/>
        <w:spacing w:after="60" w:line="245" w:lineRule="auto"/>
        <w:ind w:firstLine="340"/>
        <w:jc w:val="both"/>
      </w:pPr>
      <w:r>
        <w:rPr>
          <w:rFonts w:ascii="Times New Roman" w:hAnsi="Times New Roman" w:eastAsia="Times New Roman" w:cs="Times New Roman"/>
          <w:b w:val="0"/>
          <w:i w:val="0"/>
          <w:color w:val="000000"/>
          <w:sz w:val="22"/>
        </w:rPr>
        <w:t>6.9. Ключи и иные средства доступа к Объекту передаются одновременно с подписанием передаточного акта либо иного документа о передаче. Приостановление передачи по причине просрочки оплаты допускается только по пункту 6.3.1. Самовольное проникновение в Дом или Квартиру до передачи запрещено.</w:t>
      </w:r>
    </w:p>
    <w:p w14:paraId="035130F7">
      <w:pPr>
        <w:keepNext w:val="0"/>
        <w:widowControl/>
        <w:spacing w:after="60" w:line="245" w:lineRule="auto"/>
        <w:ind w:firstLine="340"/>
        <w:jc w:val="both"/>
      </w:pPr>
      <w:r>
        <w:rPr>
          <w:rFonts w:ascii="Times New Roman" w:hAnsi="Times New Roman" w:eastAsia="Times New Roman" w:cs="Times New Roman"/>
          <w:b w:val="0"/>
          <w:i w:val="0"/>
          <w:color w:val="000000"/>
          <w:sz w:val="22"/>
        </w:rPr>
        <w:t>6.10. После передачи Квартиры и осуществления ее государственного кадастрового учета Застройщик в срок не позднее 30 (тридцати) рабочих дней со дня подписания передаточного акта, правомерного одностороннего акта или иного документа о передаче направляет в орган регистрации прав электронное заявление о государственной регистрации права собственности Участника в порядке статьи 16 Закона № 214-ФЗ. Участник обязан своевременно предоставить документы и сведения, необходимые для регистрации, уплатить государственную пошлину, если она подлежит уплате им, и совершить действия по оформлению ипотеки или иных обременений, связанных с кредитованием. Невозможность или приостановление регистрации вследствие непредоставления Участником документов, недостоверности его сведений, неисполнения требований банка или регистрирующего органа не является нарушением Застройщика.</w:t>
      </w:r>
    </w:p>
    <w:p w14:paraId="73416619">
      <w:pPr>
        <w:pStyle w:val="2"/>
        <w:keepNext/>
        <w:widowControl/>
        <w:spacing w:before="160" w:after="80" w:line="245" w:lineRule="auto"/>
        <w:ind w:firstLine="0"/>
        <w:jc w:val="left"/>
      </w:pPr>
      <w:r>
        <w:rPr>
          <w:rFonts w:ascii="Times New Roman" w:hAnsi="Times New Roman" w:eastAsia="Times New Roman" w:cs="Times New Roman"/>
          <w:b/>
          <w:i w:val="0"/>
          <w:color w:val="000000"/>
          <w:sz w:val="22"/>
        </w:rPr>
        <w:t>7. ОБЯЗАННОСТИ И ПРАВА ЗАСТРОЙЩИКА</w:t>
      </w:r>
    </w:p>
    <w:p w14:paraId="02716B9B">
      <w:pPr>
        <w:keepNext w:val="0"/>
        <w:widowControl/>
        <w:spacing w:after="60" w:line="245" w:lineRule="auto"/>
        <w:ind w:firstLine="340"/>
        <w:jc w:val="both"/>
      </w:pPr>
      <w:r>
        <w:rPr>
          <w:rFonts w:ascii="Times New Roman" w:hAnsi="Times New Roman" w:eastAsia="Times New Roman" w:cs="Times New Roman"/>
          <w:b w:val="0"/>
          <w:i w:val="0"/>
          <w:color w:val="000000"/>
          <w:sz w:val="22"/>
        </w:rPr>
        <w:t>7.1. Застройщик обязан осуществить строительство Дома в соответствии с разрешением на строительство, проектной документацией, обязательными требованиями и Договором; получить разрешение на ввод; передать Объект; раскрывать и обновлять сведения в ЕИСЖС; передать инструкцию по эксплуатации; выполнять гарантийные обязанности.</w:t>
      </w:r>
    </w:p>
    <w:p w14:paraId="5FCD72D5">
      <w:pPr>
        <w:keepNext w:val="0"/>
        <w:widowControl/>
        <w:spacing w:after="60" w:line="245" w:lineRule="auto"/>
        <w:ind w:firstLine="340"/>
        <w:jc w:val="both"/>
      </w:pPr>
      <w:r>
        <w:rPr>
          <w:rFonts w:ascii="Times New Roman" w:hAnsi="Times New Roman" w:eastAsia="Times New Roman" w:cs="Times New Roman"/>
          <w:b w:val="0"/>
          <w:i w:val="0"/>
          <w:color w:val="000000"/>
          <w:sz w:val="22"/>
        </w:rPr>
        <w:t>7.2. Застройщик вправе привлекать генерального подрядчика, подрядчиков, проектировщиков, технического заказчика, управляющую организацию, ресурсоснабжающие и иные организации без согласования с Участником, оставаясь ответственным в предусмотренных законом пределах.</w:t>
      </w:r>
    </w:p>
    <w:p w14:paraId="2F980344">
      <w:pPr>
        <w:keepNext w:val="0"/>
        <w:widowControl/>
        <w:spacing w:after="60" w:line="245" w:lineRule="auto"/>
        <w:ind w:firstLine="340"/>
        <w:jc w:val="both"/>
      </w:pPr>
      <w:r>
        <w:rPr>
          <w:rFonts w:ascii="Times New Roman" w:hAnsi="Times New Roman" w:eastAsia="Times New Roman" w:cs="Times New Roman"/>
          <w:b w:val="0"/>
          <w:i w:val="0"/>
          <w:color w:val="000000"/>
          <w:sz w:val="22"/>
        </w:rPr>
        <w:t>7.3. Застройщик вправе требовать от Участника своевременной оплаты, предоставления документов, открытия и пополнения счета эскроу, явки на приемку, подписания документов, необходимых для исполнения Договора, и возмещения расходов, вызванных виновными действиями Участника.</w:t>
      </w:r>
    </w:p>
    <w:p w14:paraId="6C5EF365">
      <w:pPr>
        <w:keepNext w:val="0"/>
        <w:widowControl/>
        <w:spacing w:after="60" w:line="245" w:lineRule="auto"/>
        <w:ind w:firstLine="340"/>
        <w:jc w:val="both"/>
      </w:pPr>
      <w:r>
        <w:rPr>
          <w:rFonts w:ascii="Times New Roman" w:hAnsi="Times New Roman" w:eastAsia="Times New Roman" w:cs="Times New Roman"/>
          <w:b w:val="0"/>
          <w:i w:val="0"/>
          <w:color w:val="000000"/>
          <w:sz w:val="22"/>
        </w:rPr>
        <w:t>7.4. Застройщик вправе осуществлять действия, перечисленные в разделах 9–13 Договора, самостоятельно, без получения отдельного согласия Участника на каждое действие, поскольку соответствующее предварительное согласие в допускаемых законом пределах предоставлено подписанием Договора. Условия осуществления действий с земельным участком, в том числе после ввода Дома в эксплуатацию и передачи Квартиры, определяются разделом 10 Договора.</w:t>
      </w:r>
    </w:p>
    <w:p w14:paraId="7D0DFABA">
      <w:pPr>
        <w:keepNext w:val="0"/>
        <w:widowControl/>
        <w:spacing w:after="60" w:line="245" w:lineRule="auto"/>
        <w:ind w:firstLine="340"/>
        <w:jc w:val="both"/>
      </w:pPr>
      <w:r>
        <w:rPr>
          <w:rFonts w:ascii="Times New Roman" w:hAnsi="Times New Roman" w:eastAsia="Times New Roman" w:cs="Times New Roman"/>
          <w:b w:val="0"/>
          <w:i w:val="0"/>
          <w:color w:val="000000"/>
          <w:sz w:val="22"/>
        </w:rPr>
        <w:t xml:space="preserve">7.5. Застройщик вправе передавать в залог принадлежащие ему права аренды земельного участка, объекты, имущественные права и права требования, изменять обеспечиваемые обязательства, осуществлять рефинансирование и замену кредитора в пределах, допускаемых законом и договором аренды. </w:t>
      </w:r>
    </w:p>
    <w:p w14:paraId="575F7739">
      <w:pPr>
        <w:pStyle w:val="2"/>
        <w:keepNext/>
        <w:widowControl/>
        <w:spacing w:before="160" w:after="80" w:line="245" w:lineRule="auto"/>
        <w:ind w:firstLine="0"/>
        <w:jc w:val="left"/>
      </w:pPr>
      <w:r>
        <w:rPr>
          <w:rFonts w:ascii="Times New Roman" w:hAnsi="Times New Roman" w:eastAsia="Times New Roman" w:cs="Times New Roman"/>
          <w:b/>
          <w:i w:val="0"/>
          <w:color w:val="000000"/>
          <w:sz w:val="22"/>
        </w:rPr>
        <w:t>8. ОБЯЗАННОСТИ И ПРАВА УЧАСТНИКА</w:t>
      </w:r>
    </w:p>
    <w:p w14:paraId="0A2CDB45">
      <w:pPr>
        <w:keepNext w:val="0"/>
        <w:widowControl/>
        <w:spacing w:after="60" w:line="245" w:lineRule="auto"/>
        <w:ind w:firstLine="340"/>
        <w:jc w:val="both"/>
      </w:pPr>
      <w:r>
        <w:rPr>
          <w:rFonts w:ascii="Times New Roman" w:hAnsi="Times New Roman" w:eastAsia="Times New Roman" w:cs="Times New Roman"/>
          <w:b w:val="0"/>
          <w:i w:val="0"/>
          <w:color w:val="000000"/>
          <w:sz w:val="22"/>
        </w:rPr>
        <w:t>8.1. Участник обязан уплатить Цену Договора в полном объеме и установленные сроки; открыть и пополнить счет эскроу; предоставить достоверные документы и сведения; совершать необходимые действия для государственной регистрации Договора, дополнительных соглашений, уступки и права собственности; принять Квартиру; подписать документы, обоснованно необходимые для исполнения Договора; уведомлять Застройщика об изменении паспортных, контактных и банковских данных в течение 3 (трех) рабочих дней.</w:t>
      </w:r>
    </w:p>
    <w:p w14:paraId="2EB17DE1">
      <w:pPr>
        <w:keepNext w:val="0"/>
        <w:widowControl/>
        <w:spacing w:after="60" w:line="245" w:lineRule="auto"/>
        <w:ind w:firstLine="340"/>
        <w:jc w:val="both"/>
      </w:pPr>
      <w:r>
        <w:rPr>
          <w:rFonts w:ascii="Times New Roman" w:hAnsi="Times New Roman" w:eastAsia="Times New Roman" w:cs="Times New Roman"/>
          <w:b w:val="0"/>
          <w:i w:val="0"/>
          <w:color w:val="000000"/>
          <w:sz w:val="22"/>
        </w:rPr>
        <w:t>8.2. Участник обязан до передачи не вмешиваться в строительство, не давать обязательных указаний подрядчикам, не посещать строительную площадку без письменного приглашения Застройщика и соблюдать требования охраны труда и безопасности при организованном посещении.</w:t>
      </w:r>
    </w:p>
    <w:p w14:paraId="0454108F">
      <w:pPr>
        <w:keepNext w:val="0"/>
        <w:widowControl/>
        <w:spacing w:after="60" w:line="245" w:lineRule="auto"/>
        <w:ind w:firstLine="340"/>
        <w:jc w:val="both"/>
      </w:pPr>
      <w:r>
        <w:rPr>
          <w:rFonts w:ascii="Times New Roman" w:hAnsi="Times New Roman" w:eastAsia="Times New Roman" w:cs="Times New Roman"/>
          <w:b w:val="0"/>
          <w:i w:val="0"/>
          <w:color w:val="000000"/>
          <w:sz w:val="22"/>
        </w:rPr>
        <w:t>8.3. После передачи Участник обязан соблюдать правила эксплуатации, не демонтировать и не блокировать вентиляционные и шумозащитные устройства, не изменять конструктивные элементы, фасад, остекление, окна, наружные двери, инженерные системы и оборудование без обязательных согласований; обеспечивать доступ к общедомовым сетям и оборудованию для осмотра, ремонта и аварийных работ.</w:t>
      </w:r>
    </w:p>
    <w:p w14:paraId="27E78616">
      <w:pPr>
        <w:keepNext w:val="0"/>
        <w:widowControl/>
        <w:spacing w:after="60" w:line="245" w:lineRule="auto"/>
        <w:ind w:firstLine="340"/>
        <w:jc w:val="both"/>
      </w:pPr>
      <w:r>
        <w:rPr>
          <w:rFonts w:ascii="Times New Roman" w:hAnsi="Times New Roman" w:eastAsia="Times New Roman" w:cs="Times New Roman"/>
          <w:b w:val="0"/>
          <w:i w:val="0"/>
          <w:color w:val="000000"/>
          <w:sz w:val="22"/>
        </w:rPr>
        <w:t>8.4. Участник несет расходы по содержанию Квартиры и общего имущества с даты, установленной законом, соблюдает инструкции по эксплуатации. При наличии в Квартире предусмотренного проектом газоиспользующего оборудования Участник заключает обязательные договоры его технического обслуживания; это условие не означает установку в Квартире индивидуального газового котла.</w:t>
      </w:r>
    </w:p>
    <w:p w14:paraId="43CA1AE0">
      <w:pPr>
        <w:keepNext w:val="0"/>
        <w:widowControl/>
        <w:spacing w:after="60" w:line="245" w:lineRule="auto"/>
        <w:ind w:firstLine="340"/>
        <w:jc w:val="both"/>
      </w:pPr>
      <w:r>
        <w:rPr>
          <w:rFonts w:ascii="Times New Roman" w:hAnsi="Times New Roman" w:eastAsia="Times New Roman" w:cs="Times New Roman"/>
          <w:b w:val="0"/>
          <w:i w:val="0"/>
          <w:color w:val="000000"/>
          <w:sz w:val="22"/>
        </w:rPr>
        <w:t>8.5. Участник вправе получать предусмотренную законом информацию, требовать передачи Объекта надлежащего качества, предъявлять гарантийные требования и пользоваться иными правами, которые не могут быть ограничены Договором.</w:t>
      </w:r>
    </w:p>
    <w:p w14:paraId="3B421B31">
      <w:pPr>
        <w:pStyle w:val="2"/>
        <w:keepNext/>
        <w:widowControl/>
        <w:spacing w:before="160" w:after="80" w:line="245" w:lineRule="auto"/>
        <w:ind w:firstLine="0"/>
        <w:jc w:val="left"/>
      </w:pPr>
      <w:r>
        <w:rPr>
          <w:rFonts w:ascii="Times New Roman" w:hAnsi="Times New Roman" w:eastAsia="Times New Roman" w:cs="Times New Roman"/>
          <w:b/>
          <w:i w:val="0"/>
          <w:color w:val="000000"/>
          <w:sz w:val="22"/>
        </w:rPr>
        <w:t>9. ИЗМЕНЕНИЯ ПРОЕКТНОЙ ДОКУМЕНТАЦИИ И ХАРАКТЕРИСТИК ПРОЕКТА</w:t>
      </w:r>
    </w:p>
    <w:p w14:paraId="31FA716B">
      <w:pPr>
        <w:keepNext w:val="0"/>
        <w:widowControl/>
        <w:spacing w:after="60" w:line="245" w:lineRule="auto"/>
        <w:ind w:firstLine="340"/>
        <w:jc w:val="both"/>
      </w:pPr>
      <w:r>
        <w:rPr>
          <w:rFonts w:ascii="Times New Roman" w:hAnsi="Times New Roman" w:eastAsia="Times New Roman" w:cs="Times New Roman"/>
          <w:b w:val="0"/>
          <w:i w:val="0"/>
          <w:color w:val="000000"/>
          <w:sz w:val="22"/>
        </w:rPr>
        <w:t>9.1. Застройщик вправе самостоятельно, без предварительного согласования с Участником, вносить в проектную и рабочую документацию, проектную декларацию и организационно-технологические решения любые изменения, допускаемые законодательством, если они не изменяют индивидуально определенный предмет Договора и иные существенные условия, для изменения которых законом прямо требуется соглашение Сторон. Участник признает, что проектная документация подлежит развитию и уточнению в процессе строительства, согласований, авторского и строительного контроля.</w:t>
      </w:r>
    </w:p>
    <w:p w14:paraId="78BBE1FB">
      <w:pPr>
        <w:keepNext w:val="0"/>
        <w:widowControl/>
        <w:spacing w:after="60" w:line="245" w:lineRule="auto"/>
        <w:ind w:firstLine="340"/>
        <w:jc w:val="both"/>
      </w:pPr>
      <w:r>
        <w:rPr>
          <w:rFonts w:ascii="Times New Roman" w:hAnsi="Times New Roman" w:eastAsia="Times New Roman" w:cs="Times New Roman"/>
          <w:b w:val="0"/>
          <w:i w:val="0"/>
          <w:color w:val="000000"/>
          <w:sz w:val="22"/>
        </w:rPr>
        <w:t>9.2. Без отдельного согласования допускаются, в частности, следующие изменения, если соблюдены ограничения пункта 9.1:</w:t>
      </w:r>
    </w:p>
    <w:p w14:paraId="1B5D96EA">
      <w:pPr>
        <w:keepNext w:val="0"/>
        <w:widowControl/>
        <w:spacing w:after="60" w:line="245" w:lineRule="auto"/>
        <w:ind w:firstLine="340"/>
        <w:jc w:val="both"/>
      </w:pPr>
      <w:r>
        <w:rPr>
          <w:rFonts w:ascii="Times New Roman" w:hAnsi="Times New Roman" w:eastAsia="Times New Roman" w:cs="Times New Roman"/>
          <w:b w:val="0"/>
          <w:i w:val="0"/>
          <w:color w:val="000000"/>
          <w:sz w:val="22"/>
        </w:rPr>
        <w:t>– выбор и замена материалов, изделий и оборудования на равнозначные по назначению, безопасности и обязательным показателям либо имеющие улучшенные характеристики;</w:t>
      </w:r>
    </w:p>
    <w:p w14:paraId="1454EB87">
      <w:pPr>
        <w:keepNext w:val="0"/>
        <w:widowControl/>
        <w:spacing w:after="60" w:line="245" w:lineRule="auto"/>
        <w:ind w:firstLine="340"/>
        <w:jc w:val="both"/>
      </w:pPr>
      <w:r>
        <w:rPr>
          <w:rFonts w:ascii="Times New Roman" w:hAnsi="Times New Roman" w:eastAsia="Times New Roman" w:cs="Times New Roman"/>
          <w:b w:val="0"/>
          <w:i w:val="0"/>
          <w:color w:val="000000"/>
          <w:sz w:val="22"/>
        </w:rPr>
        <w:t>– уточнение конструктивных узлов, толщины отделочных слоев и перегородок, размещения шахт, стояков, коробов, приборов учета и инженерных выводов в пределах обязательных норм;</w:t>
      </w:r>
    </w:p>
    <w:p w14:paraId="1B911BA8">
      <w:pPr>
        <w:keepNext w:val="0"/>
        <w:widowControl/>
        <w:spacing w:after="60" w:line="245" w:lineRule="auto"/>
        <w:ind w:firstLine="340"/>
        <w:jc w:val="both"/>
      </w:pPr>
      <w:r>
        <w:rPr>
          <w:rFonts w:ascii="Times New Roman" w:hAnsi="Times New Roman" w:eastAsia="Times New Roman" w:cs="Times New Roman"/>
          <w:b w:val="0"/>
          <w:i w:val="0"/>
          <w:color w:val="000000"/>
          <w:sz w:val="22"/>
        </w:rPr>
        <w:t>– уточнение фасадов, входных групп, помещений общего пользования, навигации и освещения с соблюдением согласованного архитектурно-градостроительного облика и ограничений территории;</w:t>
      </w:r>
    </w:p>
    <w:p w14:paraId="433B581A">
      <w:pPr>
        <w:keepNext w:val="0"/>
        <w:widowControl/>
        <w:spacing w:after="60" w:line="245" w:lineRule="auto"/>
        <w:ind w:firstLine="340"/>
        <w:jc w:val="both"/>
      </w:pPr>
      <w:r>
        <w:rPr>
          <w:rFonts w:ascii="Times New Roman" w:hAnsi="Times New Roman" w:eastAsia="Times New Roman" w:cs="Times New Roman"/>
          <w:b w:val="0"/>
          <w:i w:val="0"/>
          <w:color w:val="000000"/>
          <w:sz w:val="22"/>
        </w:rPr>
        <w:t>– уточнение благоустройства, озеленения, площадок, проездов и инженерных сооружений при сохранении обязательных показателей и прав Участника;</w:t>
      </w:r>
    </w:p>
    <w:p w14:paraId="04E2F3C8">
      <w:pPr>
        <w:keepNext w:val="0"/>
        <w:widowControl/>
        <w:spacing w:after="60" w:line="245" w:lineRule="auto"/>
        <w:ind w:firstLine="340"/>
        <w:jc w:val="both"/>
      </w:pPr>
      <w:r>
        <w:rPr>
          <w:rFonts w:ascii="Times New Roman" w:hAnsi="Times New Roman" w:eastAsia="Times New Roman" w:cs="Times New Roman"/>
          <w:b w:val="0"/>
          <w:i w:val="0"/>
          <w:color w:val="000000"/>
          <w:sz w:val="22"/>
        </w:rPr>
        <w:t>– уточнение строительной нумерации и кадастровых обозначений; изменение характеристик иных помещений, не являющихся Объектом, в пределах разрешительной документации и закона.</w:t>
      </w:r>
    </w:p>
    <w:p w14:paraId="5042A817">
      <w:pPr>
        <w:keepNext w:val="0"/>
        <w:widowControl/>
        <w:spacing w:after="60" w:line="245" w:lineRule="auto"/>
        <w:ind w:firstLine="340"/>
        <w:jc w:val="both"/>
      </w:pPr>
      <w:r>
        <w:rPr>
          <w:rFonts w:ascii="Times New Roman" w:hAnsi="Times New Roman" w:eastAsia="Times New Roman" w:cs="Times New Roman"/>
          <w:b w:val="0"/>
          <w:i w:val="0"/>
          <w:color w:val="000000"/>
          <w:sz w:val="22"/>
        </w:rPr>
        <w:t>9.3. Внутри Квартиры допускаются обусловленные рабочей документацией, применяемой технологией и строительными допусками отклонения фактических линейных размеров, высот, углов, плоскостей и площадей отдельных помещений, расположения ненесущих перегородок, дверных и оконных проемов, колонн, пилонов, коробов, стояков, приборов и инженерных выводов от графического плана. Такие отклонения не являются недостатком, если находятся в пределах обязательных допусков, сохраняются назначение Квартиры, количество жилых комнат, ее местоположение и безопасность, а изменение площади учитывается в порядке раздела 4.</w:t>
      </w:r>
    </w:p>
    <w:p w14:paraId="73EFD558">
      <w:pPr>
        <w:keepNext w:val="0"/>
        <w:widowControl/>
        <w:spacing w:after="60" w:line="245" w:lineRule="auto"/>
        <w:ind w:firstLine="340"/>
        <w:jc w:val="both"/>
      </w:pPr>
      <w:r>
        <w:rPr>
          <w:rFonts w:ascii="Times New Roman" w:hAnsi="Times New Roman" w:eastAsia="Times New Roman" w:cs="Times New Roman"/>
          <w:b w:val="0"/>
          <w:i w:val="0"/>
          <w:color w:val="000000"/>
          <w:sz w:val="22"/>
        </w:rPr>
        <w:t>9.4. Изображения, визуализации, макеты, рекламные материалы, буклеты, сайты, дизайн-концепции, образцы мебели и благоустройства не являются частью Договора и не устанавливают характеристики Объекта, если соответствующее условие прямо не включено в приложения к Договору.</w:t>
      </w:r>
    </w:p>
    <w:p w14:paraId="118CE600">
      <w:pPr>
        <w:keepNext w:val="0"/>
        <w:widowControl/>
        <w:spacing w:after="60" w:line="245" w:lineRule="auto"/>
        <w:ind w:firstLine="340"/>
        <w:jc w:val="both"/>
      </w:pPr>
      <w:r>
        <w:rPr>
          <w:rFonts w:ascii="Times New Roman" w:hAnsi="Times New Roman" w:eastAsia="Times New Roman" w:cs="Times New Roman"/>
          <w:b w:val="0"/>
          <w:i w:val="0"/>
          <w:color w:val="000000"/>
          <w:sz w:val="22"/>
        </w:rPr>
        <w:t>9.5. Законно внесенные изменения, не ухудшающие обязательные показатели безопасности и качества Квартиры и не относящиеся к существенным изменениям, прямо предусмотренным Законом № 214-ФЗ, не признаются недостатком, предоставлением недостоверной информации, односторонним изменением предмета Договора либо основанием для изменения Цены, отказа от приемки, взыскания убытков или расторжения Договора.</w:t>
      </w:r>
    </w:p>
    <w:p w14:paraId="02F4A4F9">
      <w:pPr>
        <w:keepNext w:val="0"/>
        <w:widowControl/>
        <w:spacing w:after="60" w:line="245" w:lineRule="auto"/>
        <w:ind w:firstLine="340"/>
        <w:jc w:val="both"/>
      </w:pPr>
      <w:r>
        <w:rPr>
          <w:rFonts w:ascii="Times New Roman" w:hAnsi="Times New Roman" w:eastAsia="Times New Roman" w:cs="Times New Roman"/>
          <w:b w:val="0"/>
          <w:i w:val="0"/>
          <w:color w:val="000000"/>
          <w:sz w:val="22"/>
        </w:rPr>
        <w:t>9.6. Внесение Застройщиком сведений об изменениях в проектную декларацию и размещение актуальной редакции в ЕИСЖС является надлежащим публичным раскрытием информации.</w:t>
      </w:r>
    </w:p>
    <w:p w14:paraId="49183ED9">
      <w:pPr>
        <w:keepNext w:val="0"/>
        <w:widowControl/>
        <w:spacing w:after="60" w:line="245" w:lineRule="auto"/>
        <w:ind w:firstLine="340"/>
        <w:jc w:val="both"/>
      </w:pPr>
      <w:r>
        <w:rPr>
          <w:rFonts w:ascii="Times New Roman" w:hAnsi="Times New Roman" w:eastAsia="Times New Roman" w:cs="Times New Roman"/>
          <w:b w:val="0"/>
          <w:i w:val="0"/>
          <w:color w:val="000000"/>
          <w:sz w:val="22"/>
        </w:rPr>
        <w:t>9.7. Незначительные различия во внешнем виде, оттенке, рисунке, фактуре, структуре, степени блеска и иных визуально воспринимаемых свойствах материалов и изделий, обусловленные природой материала, технологией изготовления, освещением, различиями партий и допустимыми производственными отклонениями, не являются недостатком при сохранении обязательных характеристик.</w:t>
      </w:r>
    </w:p>
    <w:p w14:paraId="4E5E8A23">
      <w:pPr>
        <w:keepNext w:val="0"/>
        <w:widowControl/>
        <w:spacing w:after="60" w:line="245" w:lineRule="auto"/>
        <w:ind w:firstLine="340"/>
        <w:jc w:val="both"/>
      </w:pPr>
      <w:r>
        <w:rPr>
          <w:rFonts w:ascii="Times New Roman" w:hAnsi="Times New Roman" w:eastAsia="Times New Roman" w:cs="Times New Roman"/>
          <w:b w:val="0"/>
          <w:i w:val="0"/>
          <w:color w:val="000000"/>
          <w:sz w:val="22"/>
        </w:rPr>
        <w:t>9.8. Застройщик не обязан представлять Участнику на согласование образцы, каталоги, спецификации поставщиков, коммерческие предложения, закупочные документы, конкретные марки и производителей материалов и оборудования либо получать согласие Участника на их закупку или замену, если соответствующая индивидуализирующая характеристика прямо не закреплена в Приложении № 3 как обязательная. Решение о функциональной и технической равнозначности замены принимается Застройщиком с учетом проектной организации, технических специалистов и обязательных требований.</w:t>
      </w:r>
    </w:p>
    <w:p w14:paraId="4709ED1C">
      <w:pPr>
        <w:pStyle w:val="2"/>
        <w:keepNext/>
        <w:widowControl/>
        <w:spacing w:before="160" w:after="80" w:line="245" w:lineRule="auto"/>
        <w:ind w:firstLine="0"/>
        <w:jc w:val="left"/>
      </w:pPr>
      <w:r>
        <w:rPr>
          <w:rFonts w:ascii="Times New Roman" w:hAnsi="Times New Roman" w:eastAsia="Times New Roman" w:cs="Times New Roman"/>
          <w:b/>
          <w:i w:val="0"/>
          <w:color w:val="000000"/>
          <w:sz w:val="22"/>
        </w:rPr>
        <w:t>10. ЗЕМЕЛЬНЫЙ УЧАСТОК, АРЕНДА И КАДАСТРОВЫЕ ПРЕОБРАЗОВАНИЯ</w:t>
      </w:r>
    </w:p>
    <w:p w14:paraId="2572341A">
      <w:pPr>
        <w:keepNext w:val="0"/>
        <w:widowControl/>
        <w:spacing w:after="60" w:line="245" w:lineRule="auto"/>
        <w:ind w:firstLine="340"/>
        <w:jc w:val="both"/>
        <w:rPr>
          <w:rFonts w:ascii="Times New Roman" w:hAnsi="Times New Roman" w:eastAsia="Times New Roman" w:cs="Times New Roman"/>
          <w:b w:val="0"/>
          <w:i w:val="0"/>
          <w:color w:val="000000"/>
          <w:sz w:val="22"/>
        </w:rPr>
      </w:pPr>
      <w:r>
        <w:rPr>
          <w:rFonts w:ascii="Times New Roman" w:hAnsi="Times New Roman" w:eastAsia="Times New Roman" w:cs="Times New Roman"/>
          <w:b w:val="0"/>
          <w:i w:val="0"/>
          <w:color w:val="000000"/>
          <w:sz w:val="22"/>
        </w:rPr>
        <w:t>10.1. Участник уведомлен, что земельный участок с кадастровым номером 39:15:132312:509 находится в собственности ООО «АБ ОВО», а Застройщик использует его на праве аренды. Подписанием Договора Участник заранее выражает согласие на совершение собственником участка и Застройщиком, каждым в пределах принадлежащих ему прав и полномочий, предусмотренных настоящим разделом действий с исходным и образуемыми земельными участками. Указанные действия могут совершаться в любое время до и после ввода Дома в эксплуатацию и передачи Квартиры без дополнительного согласования с Участником каждого отдельного действия, если закон допускает его совершение без отдельного согласия либо на основании такого предварительного согласия. Подписание настоящего Договора не наделяет Застройщика правом распоряжаться чужим имуществом за пределами предоставленных ему полномочий.</w:t>
      </w:r>
    </w:p>
    <w:p w14:paraId="15A9691D">
      <w:pPr>
        <w:keepNext w:val="0"/>
        <w:widowControl/>
        <w:spacing w:after="60" w:line="245" w:lineRule="auto"/>
        <w:ind w:firstLine="340"/>
        <w:jc w:val="both"/>
      </w:pPr>
      <w:r>
        <w:rPr>
          <w:rFonts w:ascii="Times New Roman" w:hAnsi="Times New Roman" w:eastAsia="Times New Roman" w:cs="Times New Roman"/>
          <w:b w:val="0"/>
          <w:i w:val="0"/>
          <w:color w:val="000000"/>
          <w:sz w:val="22"/>
        </w:rPr>
        <w:t>10.2. В пределах пункта 10.1 собственник участка и Застройщик вправе самостоятельно определять и изменять порядок законного использования и освоения территории, организовывать изыскательские, проектные, строительные, инженерные и кадастровые работы; осуществлять раздел, объединение, перераспределение, уточнение границ и площади, исправление реестровых ошибок, образование новых участков и частей участков; обеспечивать их кадастровый учет и государственную регистрацию, изменение и прекращение принадлежащих им прав и обременений; обращаться за изменением вида разрешенного использования, документации по планировке территории и разрешительной документации; размещать допускаемые законом здания, сооружения, сети, проезды, парковки и элементы благоустройства. Участник не вправе требовать дополнительного согласования указанных действий исключительно по основанию заключения настоящего Договора.</w:t>
      </w:r>
    </w:p>
    <w:p w14:paraId="518F2454">
      <w:pPr>
        <w:keepNext w:val="0"/>
        <w:widowControl/>
        <w:spacing w:after="60" w:line="245" w:lineRule="auto"/>
        <w:ind w:firstLine="340"/>
        <w:jc w:val="both"/>
        <w:rPr>
          <w:rFonts w:ascii="Times New Roman" w:hAnsi="Times New Roman" w:eastAsia="Times New Roman" w:cs="Times New Roman"/>
          <w:b w:val="0"/>
          <w:i w:val="0"/>
          <w:color w:val="000000"/>
          <w:sz w:val="22"/>
        </w:rPr>
      </w:pPr>
      <w:r>
        <w:rPr>
          <w:rFonts w:ascii="Times New Roman" w:hAnsi="Times New Roman" w:eastAsia="Times New Roman" w:cs="Times New Roman"/>
          <w:b w:val="0"/>
          <w:i w:val="0"/>
          <w:color w:val="000000"/>
          <w:sz w:val="22"/>
        </w:rPr>
        <w:t>10.3. В результате правомерных кадастровых преобразований могут измениться границы, площадь и кадастровый номер исходного участка, а исходный участок может прекратить существование. Такие изменения сами по себе не являются недостатком Объекта, нарушением Договора либо основанием для уменьшения Цены, отказа от приемки, расторжения Договора, взыскания убытков или компенсации, если сохраняются законные основания строительства и эксплуатации Дома, индивидуально определенный предмет Договора, обязательные элементы благоустройства и инженерного обеспечения, безопасный доступ и права Участника, установленные законом. Настоящий раздел не разрешает исключение имущества, относящегося к общему имуществу Дома в силу закона, или уменьшение его размера в обход обязательного порядка.</w:t>
      </w:r>
    </w:p>
    <w:p w14:paraId="400A98EC">
      <w:pPr>
        <w:keepNext w:val="0"/>
        <w:widowControl/>
        <w:spacing w:after="60" w:line="245" w:lineRule="auto"/>
        <w:ind w:firstLine="340"/>
        <w:jc w:val="both"/>
      </w:pPr>
      <w:r>
        <w:rPr>
          <w:rFonts w:ascii="Times New Roman" w:hAnsi="Times New Roman" w:eastAsia="Times New Roman" w:cs="Times New Roman"/>
          <w:b w:val="0"/>
          <w:i w:val="0"/>
          <w:color w:val="000000"/>
          <w:sz w:val="22"/>
        </w:rPr>
        <w:t>10.4. В пределах пункта 10.1 собственник участка и Застройщик вправе без отдельного согласования с Участником заключать соглашения о сервитутах, проходе, проезде, доступе, подключении, размещении и обслуживании сетей; передавать участок или его части в аренду, субаренду либо пользование; передавать права и обязанности по договору аренды и устанавливать иные допускаемые законом обременения. Застройщик осуществляет эти действия в пределах договора аренды и полномочий, предоставленных собственником. Публичные сервитуты, зоны с особыми условиями использования территории и иные публичные ограничения устанавливаются уполномоченными лицами в предусмотренном законом порядке. Согласия собственника, залогодержателя и иных правообладателей, обязательные по закону, оформляются в установленном порядке; согласие Участника их не заменяет.</w:t>
      </w:r>
    </w:p>
    <w:p w14:paraId="160C3C3F">
      <w:pPr>
        <w:keepNext w:val="0"/>
        <w:widowControl/>
        <w:spacing w:after="60" w:line="245" w:lineRule="auto"/>
        <w:ind w:firstLine="340"/>
        <w:jc w:val="both"/>
      </w:pPr>
      <w:r>
        <w:rPr>
          <w:rFonts w:ascii="Times New Roman" w:hAnsi="Times New Roman" w:eastAsia="Times New Roman" w:cs="Times New Roman"/>
          <w:b w:val="0"/>
          <w:i w:val="0"/>
          <w:color w:val="000000"/>
          <w:sz w:val="22"/>
        </w:rPr>
        <w:t>10.5. Участник уведомлен об ипотеке участка, указанной в пункте 3.3, и согласен на законное обеспечение финансирования строительства залогом прав аренды и иного принадлежащего Застройщику имущества. В той мере, в какой допускается предварительное согласие Участника, оно распространяется на изменение предмета обеспечения, рефинансирование и замену залогодержателя при сохранении предусмотренных законом гарантий. Освобождение передаваемой Квартиры от ипотеки обеспечивается в установленном законом порядке.</w:t>
      </w:r>
    </w:p>
    <w:p w14:paraId="6DCE9D5C">
      <w:pPr>
        <w:keepNext w:val="0"/>
        <w:widowControl/>
        <w:spacing w:after="60" w:line="245" w:lineRule="auto"/>
        <w:ind w:firstLine="340"/>
        <w:jc w:val="both"/>
      </w:pPr>
      <w:r>
        <w:rPr>
          <w:rFonts w:ascii="Times New Roman" w:hAnsi="Times New Roman" w:eastAsia="Times New Roman" w:cs="Times New Roman"/>
          <w:b w:val="0"/>
          <w:i w:val="0"/>
          <w:color w:val="000000"/>
          <w:sz w:val="22"/>
        </w:rPr>
        <w:t>10.6. Собственник участка и Застройщик, каждый в пределах своих прав, вправе в любое время, в том числе после ввода Дома и передачи Квартиры, сохранять за собой, отчуждать, передавать в залог, аренду, субаренду или иное пользование земельные участки, их части, помещения, сооружения, объекты инфраструктуры и имущественные права, не относящиеся по закону к общему имуществу Дома. Отдельное согласие Участника на такие действия не требуется, кроме прямо предусмотренных законом случаев. Участник не приобретает на указанное имущество дополнительных прав и не вправе препятствовать его законному использованию или распоряжению им исключительно по основанию приобретения Квартиры.</w:t>
      </w:r>
    </w:p>
    <w:p w14:paraId="3CCE89AB">
      <w:pPr>
        <w:keepNext w:val="0"/>
        <w:widowControl/>
        <w:spacing w:after="60" w:line="245" w:lineRule="auto"/>
        <w:ind w:firstLine="340"/>
        <w:jc w:val="both"/>
      </w:pPr>
      <w:r>
        <w:rPr>
          <w:rFonts w:ascii="Times New Roman" w:hAnsi="Times New Roman" w:eastAsia="Times New Roman" w:cs="Times New Roman"/>
          <w:b w:val="0"/>
          <w:i w:val="0"/>
          <w:color w:val="000000"/>
          <w:sz w:val="22"/>
        </w:rPr>
        <w:t>10.7. После ввода Дома и передачи Квартиры в иных помещениях могут продолжаться отделочные, монтажные и пусконаладочные работы их собственников и пользователей, а на окружающих участках — законное строительство. Это не освобождает Застройщика от своевременного завершения работ, необходимых для ввода Дома, безопасной эксплуатации и надлежащей передачи Квартиры. Обычные последствия законных работ оцениваются с учетом обязательных требований к шуму, безопасности и доступу.</w:t>
      </w:r>
    </w:p>
    <w:p w14:paraId="6DFE311B">
      <w:pPr>
        <w:keepNext w:val="0"/>
        <w:widowControl/>
        <w:spacing w:after="60" w:line="245" w:lineRule="auto"/>
        <w:ind w:firstLine="340"/>
        <w:jc w:val="both"/>
      </w:pPr>
      <w:r>
        <w:rPr>
          <w:rFonts w:ascii="Times New Roman" w:hAnsi="Times New Roman" w:eastAsia="Times New Roman" w:cs="Times New Roman"/>
          <w:b w:val="0"/>
          <w:i w:val="0"/>
          <w:color w:val="000000"/>
          <w:sz w:val="22"/>
        </w:rPr>
        <w:t>10.8. Для завершения законных работ Застройщик и привлеченные им лица вправе при наличии необходимых прав использовать проезды, сети и площадки, организовывать строительные подъезды, временные ограждения и ограничения, не лишая собственников безопасного доступа и не нарушая обязательных условий эксплуатации Дома. Предварительное согласие Участника не заменяет решения общего собрания собственников, согласия всех собственников или отдельного соглашения об общем имуществе, когда соответствующее решение, согласие либо соглашение обязательно по закону. За пределами таких случаев дополнительное согласование предусмотренных настоящим разделом действий с Участником не требуется.</w:t>
      </w:r>
    </w:p>
    <w:p w14:paraId="221278C1">
      <w:pPr>
        <w:keepNext w:val="0"/>
        <w:widowControl/>
        <w:spacing w:after="60" w:line="245" w:lineRule="auto"/>
        <w:ind w:firstLine="340"/>
        <w:jc w:val="both"/>
      </w:pPr>
      <w:r>
        <w:rPr>
          <w:rFonts w:ascii="Times New Roman" w:hAnsi="Times New Roman" w:eastAsia="Times New Roman" w:cs="Times New Roman"/>
          <w:b w:val="0"/>
          <w:i w:val="0"/>
          <w:color w:val="000000"/>
          <w:sz w:val="22"/>
        </w:rPr>
        <w:t>10.9. Участнику не гарантируются неизменность вида из окон, отсутствие последующей застройки, конкретный ландшафт, постоянное расположение парковочных мест или индивидуальное парковочное место, если оно не является отдельным объектом приобретения. Изменение окружающей застройки в соответствии с законом не является недостатком Объекта.</w:t>
      </w:r>
    </w:p>
    <w:p w14:paraId="718D93B0">
      <w:pPr>
        <w:keepNext w:val="0"/>
        <w:widowControl/>
        <w:spacing w:after="60" w:line="245" w:lineRule="auto"/>
        <w:ind w:firstLine="340"/>
        <w:jc w:val="both"/>
        <w:rPr>
          <w:rFonts w:hint="default"/>
          <w:lang w:val="ru-RU"/>
        </w:rPr>
      </w:pPr>
      <w:r>
        <w:rPr>
          <w:rFonts w:ascii="Times New Roman" w:hAnsi="Times New Roman" w:eastAsia="Times New Roman" w:cs="Times New Roman"/>
          <w:b w:val="0"/>
          <w:i w:val="0"/>
          <w:color w:val="000000"/>
          <w:sz w:val="22"/>
        </w:rPr>
        <w:t>10.10. Если для совершения предусмотренного настоящим разделом правомерного действия требуется отдельное заявление, подтверждение либо иной документ Участника, он обязуется рассмотреть мотивированный запрос Застройщика в течение 3 (трех) рабочих дней и в этот срок подписать документ, необходимый для исполнения уже согласованного обязательства, либо представить конкретные мотивированные возражения. Это условие не заменяет установленный законом порядок принятия решений об общем имуществе и не обязывает Участника соглашаться с изменением существенных условий Договора, требующим отдельного соглашения.</w:t>
      </w:r>
    </w:p>
    <w:p w14:paraId="6DDBA354">
      <w:pPr>
        <w:keepNext w:val="0"/>
        <w:widowControl/>
        <w:spacing w:after="60" w:line="245" w:lineRule="auto"/>
        <w:ind w:firstLine="340"/>
        <w:jc w:val="both"/>
      </w:pPr>
      <w:r>
        <w:rPr>
          <w:rFonts w:ascii="Times New Roman" w:hAnsi="Times New Roman" w:eastAsia="Times New Roman" w:cs="Times New Roman"/>
          <w:b w:val="0"/>
          <w:i w:val="0"/>
          <w:color w:val="000000"/>
          <w:sz w:val="22"/>
        </w:rPr>
        <w:t>10.11. Участник обязан довести правила настоящего раздела до проживающих, арендаторов, подрядчиков по ремонту и последующих приобретателей Квартиры. Действия указанных лиц для целей ответственности по Договору рассматриваются как действия Участника в пределах, установленных законом.</w:t>
      </w:r>
    </w:p>
    <w:p w14:paraId="0BA49C7B">
      <w:pPr>
        <w:pStyle w:val="2"/>
        <w:keepNext/>
        <w:widowControl/>
        <w:spacing w:before="160" w:after="80" w:line="245" w:lineRule="auto"/>
        <w:ind w:firstLine="0"/>
        <w:jc w:val="left"/>
      </w:pPr>
      <w:r>
        <w:rPr>
          <w:rFonts w:ascii="Times New Roman" w:hAnsi="Times New Roman" w:eastAsia="Times New Roman" w:cs="Times New Roman"/>
          <w:b/>
          <w:i w:val="0"/>
          <w:color w:val="000000"/>
          <w:sz w:val="22"/>
        </w:rPr>
        <w:t>11. ОБЩЕЕ ИМУЩЕСТВО, ИНФРАСТРУКТУРА И ПАРКОВКИ</w:t>
      </w:r>
    </w:p>
    <w:p w14:paraId="0FF4985D">
      <w:pPr>
        <w:keepNext w:val="0"/>
        <w:widowControl/>
        <w:spacing w:after="60" w:line="245" w:lineRule="auto"/>
        <w:ind w:firstLine="340"/>
        <w:jc w:val="both"/>
      </w:pPr>
      <w:r>
        <w:rPr>
          <w:rFonts w:ascii="Times New Roman" w:hAnsi="Times New Roman" w:eastAsia="Times New Roman" w:cs="Times New Roman"/>
          <w:b w:val="0"/>
          <w:i w:val="0"/>
          <w:color w:val="000000"/>
          <w:sz w:val="22"/>
        </w:rPr>
        <w:t>11.1. Состав общего имущества Дома определяется законом, проектной документацией и результатами государственного кадастрового учета. Доля Участника в общем имуществе возникает и следует судьбе права собственности на Квартиру в установленном законом порядке.</w:t>
      </w:r>
    </w:p>
    <w:p w14:paraId="13153C90">
      <w:pPr>
        <w:keepNext w:val="0"/>
        <w:widowControl/>
        <w:spacing w:after="60" w:line="245" w:lineRule="auto"/>
        <w:ind w:firstLine="340"/>
        <w:jc w:val="both"/>
      </w:pPr>
      <w:r>
        <w:rPr>
          <w:rFonts w:ascii="Times New Roman" w:hAnsi="Times New Roman" w:eastAsia="Times New Roman" w:cs="Times New Roman"/>
          <w:b w:val="0"/>
          <w:i w:val="0"/>
          <w:color w:val="000000"/>
          <w:sz w:val="22"/>
        </w:rPr>
        <w:t>11.2. Объекты инженерной, транспортной и иной инфраструктуры, обслуживающие не только Дом, но и другие дома, земельные участки или населенный пункт, не обязательно входят в общее имущество Дома и могут принадлежать Застройщику, ресурсоснабжающей организации, публичному образованию или третьему лицу.</w:t>
      </w:r>
    </w:p>
    <w:p w14:paraId="1B340DF9">
      <w:pPr>
        <w:keepNext w:val="0"/>
        <w:widowControl/>
        <w:spacing w:after="60" w:line="245" w:lineRule="auto"/>
        <w:ind w:firstLine="340"/>
        <w:jc w:val="both"/>
      </w:pPr>
      <w:r>
        <w:rPr>
          <w:rFonts w:ascii="Times New Roman" w:hAnsi="Times New Roman" w:eastAsia="Times New Roman" w:cs="Times New Roman"/>
          <w:b w:val="0"/>
          <w:i w:val="0"/>
          <w:color w:val="000000"/>
          <w:sz w:val="22"/>
        </w:rPr>
        <w:t>11.3. Подземная автостоянка включает отдельные парковочные объекты и обслуживающие ее помещения, проезды, рампу и инженерные системы. Приобретение Квартиры не включает приобретение парковочной ячейки, машино-места или права исключительного пользования конкретным местом; такие права оформляются отдельной сделкой с точным указанием предмета. Состав общего имущества автостоянки и Дома определяется законом и проектом.</w:t>
      </w:r>
    </w:p>
    <w:p w14:paraId="5B96E372">
      <w:pPr>
        <w:keepNext w:val="0"/>
        <w:widowControl/>
        <w:spacing w:after="60" w:line="245" w:lineRule="auto"/>
        <w:ind w:firstLine="340"/>
        <w:jc w:val="both"/>
      </w:pPr>
      <w:r>
        <w:rPr>
          <w:rFonts w:ascii="Times New Roman" w:hAnsi="Times New Roman" w:eastAsia="Times New Roman" w:cs="Times New Roman"/>
          <w:b w:val="0"/>
          <w:i w:val="0"/>
          <w:color w:val="000000"/>
          <w:sz w:val="22"/>
        </w:rPr>
        <w:t>11.4. Застройщик вправе до передачи управления собственникам и в дальнейшем в предусмотренных законом пределах устанавливать схему движения, режим доступа, места для маломобильных лиц, спецтранспорта, погрузки, посетителей и обслуживающих организаций, размещать дорожные знаки, шлагбаумы и оборудование безопасности.</w:t>
      </w:r>
    </w:p>
    <w:p w14:paraId="6271EA49">
      <w:pPr>
        <w:keepNext w:val="0"/>
        <w:widowControl/>
        <w:spacing w:after="60" w:line="245" w:lineRule="auto"/>
        <w:ind w:firstLine="340"/>
        <w:jc w:val="both"/>
      </w:pPr>
      <w:r>
        <w:rPr>
          <w:rFonts w:ascii="Times New Roman" w:hAnsi="Times New Roman" w:eastAsia="Times New Roman" w:cs="Times New Roman"/>
          <w:b w:val="0"/>
          <w:i w:val="0"/>
          <w:color w:val="000000"/>
          <w:sz w:val="22"/>
        </w:rPr>
        <w:t>11.5. Участник согласен с предусмотренным проектом использованием встроенных нежилых помещений, офисов, кладовых, входных групп и доступом их собственников, посетителей и обслуживающих организаций. Законная эксплуатация таких помещений не является нарушением прав Участника.</w:t>
      </w:r>
    </w:p>
    <w:p w14:paraId="30A6958B">
      <w:pPr>
        <w:keepNext w:val="0"/>
        <w:widowControl/>
        <w:spacing w:after="60" w:line="245" w:lineRule="auto"/>
        <w:ind w:firstLine="340"/>
        <w:jc w:val="both"/>
      </w:pPr>
      <w:r>
        <w:rPr>
          <w:rFonts w:ascii="Times New Roman" w:hAnsi="Times New Roman" w:eastAsia="Times New Roman" w:cs="Times New Roman"/>
          <w:b w:val="0"/>
          <w:i w:val="0"/>
          <w:color w:val="000000"/>
          <w:sz w:val="22"/>
        </w:rPr>
        <w:t>11.6. При уступке прав и последующем отчуждении Квартиры Участник обязан письменно уведомить правопреемника о положениях, предусмотренных настоящим разделом.</w:t>
      </w:r>
    </w:p>
    <w:p w14:paraId="14E976E4">
      <w:pPr>
        <w:pStyle w:val="2"/>
        <w:keepNext/>
        <w:widowControl/>
        <w:spacing w:before="160" w:after="80" w:line="245" w:lineRule="auto"/>
        <w:ind w:firstLine="0"/>
        <w:jc w:val="left"/>
      </w:pPr>
      <w:r>
        <w:rPr>
          <w:rFonts w:ascii="Times New Roman" w:hAnsi="Times New Roman" w:eastAsia="Times New Roman" w:cs="Times New Roman"/>
          <w:b/>
          <w:i w:val="0"/>
          <w:color w:val="000000"/>
          <w:sz w:val="22"/>
        </w:rPr>
        <w:t>12. ЛЕТНИЕ ПОМЕЩЕНИЯ: БАЛКОНЫ, ЛОДЖИИ И ТЕРРАСЫ</w:t>
      </w:r>
    </w:p>
    <w:p w14:paraId="59A21567">
      <w:pPr>
        <w:keepNext w:val="0"/>
        <w:widowControl/>
        <w:spacing w:after="60" w:line="245" w:lineRule="auto"/>
        <w:ind w:firstLine="340"/>
        <w:jc w:val="both"/>
      </w:pPr>
      <w:r>
        <w:rPr>
          <w:rFonts w:ascii="Times New Roman" w:hAnsi="Times New Roman" w:eastAsia="Times New Roman" w:cs="Times New Roman"/>
          <w:b w:val="0"/>
          <w:i w:val="0"/>
          <w:color w:val="000000"/>
          <w:sz w:val="22"/>
        </w:rPr>
        <w:t>12.1. Наличие, вид, этаж, расположение, полная геометрическая площадь и применяемый понижающий коэффициент каждого Летнего помещения указываются в Приложениях № 1 и № 2. В конкретном Договоре и приложениях сохраняется наименование того вида Летнего помещения, который фактически предусмотрен проектом для соответствующей Квартиры. При отсутствии Летнего помещения в Приложении № 1 указывается «отсутствует».</w:t>
      </w:r>
    </w:p>
    <w:p w14:paraId="6B94C47A">
      <w:pPr>
        <w:keepNext w:val="0"/>
        <w:widowControl/>
        <w:spacing w:after="60" w:line="245" w:lineRule="auto"/>
        <w:ind w:firstLine="340"/>
        <w:jc w:val="both"/>
      </w:pPr>
      <w:r>
        <w:rPr>
          <w:rFonts w:ascii="Times New Roman" w:hAnsi="Times New Roman" w:eastAsia="Times New Roman" w:cs="Times New Roman"/>
          <w:b w:val="0"/>
          <w:i w:val="0"/>
          <w:color w:val="000000"/>
          <w:sz w:val="22"/>
        </w:rPr>
        <w:t>12.2. Для расчета Проектной и Фактической приведенной площади площадь балкона учитывается с коэффициентом 0,3, лоджии — 0,5, террасы — 0,3. Вид каждого Летнего помещения определяется утвержденной проектной документацией, а не рекламным наименованием. Его площадь не включается в площадь жилого помещения, отражаемую в ЕГРН, в соответствии с обязательными правилами кадастрового учета. Самовольное утепление, остекление или изменение способа использования не изменяет порядок расчетов по Договору.</w:t>
      </w:r>
    </w:p>
    <w:p w14:paraId="72CE6F9F">
      <w:pPr>
        <w:keepNext w:val="0"/>
        <w:widowControl/>
        <w:spacing w:after="60" w:line="245" w:lineRule="auto"/>
        <w:ind w:firstLine="340"/>
        <w:jc w:val="both"/>
      </w:pPr>
      <w:r>
        <w:rPr>
          <w:rFonts w:ascii="Times New Roman" w:hAnsi="Times New Roman" w:eastAsia="Times New Roman" w:cs="Times New Roman"/>
          <w:b w:val="0"/>
          <w:i w:val="0"/>
          <w:color w:val="000000"/>
          <w:sz w:val="22"/>
        </w:rPr>
        <w:t>12.3. Летнее помещение должно использоваться строго в соответствии с проектным назначением, допустимой нагрузкой, требованиями пожарной безопасности, правилами содержания общего имущества, инструкцией по эксплуатации и требованиями по сохранности фасада, остекления, ограждения, покрытия, гидроизоляции, водоотведения, вентиляции и иных конструкций Дома.</w:t>
      </w:r>
    </w:p>
    <w:p w14:paraId="75DC9700">
      <w:pPr>
        <w:keepNext w:val="0"/>
        <w:widowControl/>
        <w:spacing w:after="60" w:line="245" w:lineRule="auto"/>
        <w:ind w:firstLine="340"/>
        <w:jc w:val="both"/>
      </w:pPr>
      <w:r>
        <w:rPr>
          <w:rFonts w:ascii="Times New Roman" w:hAnsi="Times New Roman" w:eastAsia="Times New Roman" w:cs="Times New Roman"/>
          <w:b w:val="0"/>
          <w:i w:val="0"/>
          <w:color w:val="000000"/>
          <w:sz w:val="22"/>
        </w:rPr>
        <w:t>12.4. Без отдельного согласования допускается размещение легкой переносной мебели и обычных предметов быта, не закрепляемых к конструкциям Дома, при условии соблюдения проектной допустимой нагрузки и правил эксплуатации. Такие предметы не должны изменять фасад и остекление, создавать угрозу падения, препятствовать доступу к конструкциям и оборудованию, водоотведению, вентиляции, эвакуации и безопасной эксплуатации.</w:t>
      </w:r>
    </w:p>
    <w:p w14:paraId="163732F1">
      <w:pPr>
        <w:keepNext w:val="0"/>
        <w:widowControl/>
        <w:spacing w:after="60" w:line="245" w:lineRule="auto"/>
        <w:ind w:firstLine="340"/>
        <w:jc w:val="both"/>
      </w:pPr>
      <w:r>
        <w:rPr>
          <w:rFonts w:ascii="Times New Roman" w:hAnsi="Times New Roman" w:eastAsia="Times New Roman" w:cs="Times New Roman"/>
          <w:b w:val="0"/>
          <w:i w:val="0"/>
          <w:color w:val="000000"/>
          <w:sz w:val="22"/>
        </w:rPr>
        <w:t>12.5. Размещение растений, систем хранения, покрытий, настилов, экранов, климатического и иного оборудования требует предварительных согласований, когда оно затрагивает фасад, общее имущество, несущие или ограждающие конструкции, гидроизоляцию, инженерные системы либо влечет изменение предусмотренной проектом нагрузки или условий безопасной эксплуатации. Согласования оформляются с лицами и органами, уполномоченными законом. До передачи управления Домом технические решения направляются Застройщику, после передачи — управляющей организации; при вмешательстве в элементы, находящиеся на гарантии, Участник предварительно уведомляет Застройщика и предоставляет сведения о месте, массе и способе установки. Согласование управляющей организации или Застройщика не заменяет обязательных решений собственников и разрешений. Гарантийные последствия определяются причинной связью между вмешательством и недостатком, а не одним лишь отсутствием согласования.</w:t>
      </w:r>
    </w:p>
    <w:p w14:paraId="01BD3F7E">
      <w:pPr>
        <w:keepNext w:val="0"/>
        <w:widowControl/>
        <w:spacing w:after="60" w:line="245" w:lineRule="auto"/>
        <w:ind w:firstLine="340"/>
        <w:jc w:val="both"/>
      </w:pPr>
      <w:r>
        <w:rPr>
          <w:rFonts w:ascii="Times New Roman" w:hAnsi="Times New Roman" w:eastAsia="Times New Roman" w:cs="Times New Roman"/>
          <w:b w:val="0"/>
          <w:i w:val="0"/>
          <w:color w:val="000000"/>
          <w:sz w:val="22"/>
        </w:rPr>
        <w:t>12.6. Без предусмотренных законодательством и настоящим Договором согласований запрещаются замена или изменение остекления и ограждений, тонирование и оклейка стекол материалами, изменяющими внешний вид либо технические характеристики, дополнительное утепление, устройство или изменение отопления и теплого пола, объединение Летнего помещения с помещениями Квартиры, демонтаж или перенос оконных и дверных блоков, порогов, радиаторов, ограждений, отливов и водоотводящих элементов, устройство дополнительных стяжек, настилов и иных слоев, сверление и штробление фасадных, ограждающих и несущих конструкций, изменение покрытия, основания, гидроизоляции и уклонов, монтаж навесов, козырьков, маркиз, пергол, решеток, дополнительных ограждений, антенн, наружных блоков, инженерных коммуникаций и любого оборудования с креплением к конструкциям Дома или земле.</w:t>
      </w:r>
    </w:p>
    <w:p w14:paraId="66A1B7A8">
      <w:pPr>
        <w:keepNext w:val="0"/>
        <w:widowControl/>
        <w:spacing w:after="60" w:line="245" w:lineRule="auto"/>
        <w:ind w:firstLine="340"/>
        <w:jc w:val="both"/>
      </w:pPr>
      <w:r>
        <w:rPr>
          <w:rFonts w:ascii="Times New Roman" w:hAnsi="Times New Roman" w:eastAsia="Times New Roman" w:cs="Times New Roman"/>
          <w:b w:val="0"/>
          <w:i w:val="0"/>
          <w:color w:val="000000"/>
          <w:sz w:val="22"/>
        </w:rPr>
        <w:t>12.7. В Летнем помещении запрещается хранить газовые баллоны, горючие, легковоспламеняющиеся, взрывоопасные, токсичные и иные опасные вещества, использовать открытый огонь, мангалы, печи, грили и пиротехнические изделия, размещать бассейны, купели, емкости со значительным объемом воды, тяжелые предметы и оборудование, засыпать поверхность грунтом, устраивать стационарные клумбы, вывешивать или устанавливать предметы за пределами ограждения, перекрывать дренажные и вентиляционные отверстия либо допускать сброс воды, снега, льда и предметов на фасад, землю общего пользования или нижерасположенные помещения.</w:t>
      </w:r>
    </w:p>
    <w:p w14:paraId="1BFC99D2">
      <w:pPr>
        <w:keepNext w:val="0"/>
        <w:widowControl/>
        <w:spacing w:after="60" w:line="245" w:lineRule="auto"/>
        <w:ind w:firstLine="340"/>
        <w:jc w:val="both"/>
      </w:pPr>
      <w:r>
        <w:rPr>
          <w:rFonts w:ascii="Times New Roman" w:hAnsi="Times New Roman" w:eastAsia="Times New Roman" w:cs="Times New Roman"/>
          <w:b w:val="0"/>
          <w:i w:val="0"/>
          <w:color w:val="000000"/>
          <w:sz w:val="22"/>
        </w:rPr>
        <w:t>12.8. Участник несет ответственность за сохранность, крепление и безопасное использование размещенных им предметов, самостоятельно осуществляет обычную эксплуатационную уборку Летнего помещения, удаление листьев, снега и наледи в безопасном порядке и обеспечивает доступ Застройщику, управляющей и специализированным организациям для осмотра, диагностики, обслуживания и ремонта конструкций и сетей. Повреждения, протечки, промерзание, образование конденсата, плесени, нарушение воздухообмена и иные последствия, причинно связанные с несогласованными работами, размещенными предметами, перегрузкой, несвоевременной уборкой или нарушением правил эксплуатации, не являются гарантийным случаем при доказанности соответствующей причины.</w:t>
      </w:r>
    </w:p>
    <w:p w14:paraId="220D66E6">
      <w:pPr>
        <w:keepNext w:val="0"/>
        <w:widowControl/>
        <w:spacing w:after="60" w:line="245" w:lineRule="auto"/>
        <w:ind w:firstLine="340"/>
        <w:jc w:val="both"/>
      </w:pPr>
      <w:r>
        <w:rPr>
          <w:rFonts w:ascii="Times New Roman" w:hAnsi="Times New Roman" w:eastAsia="Times New Roman" w:cs="Times New Roman"/>
          <w:b w:val="0"/>
          <w:i w:val="0"/>
          <w:color w:val="000000"/>
          <w:sz w:val="22"/>
        </w:rPr>
        <w:t>12.9. Терраса является открытым либо частично защищенным от атмосферных воздействий неотапливаемым пространством и не предназначена для круглогодичного использования как жилое помещение. Если иное прямо не предусмотрено Приложением № 3 и проектной документацией, отсутствие у террасы остекления, сплошной кровли или навеса, отопления, освещения, розеток, водоснабжения, водоотведения хозяйственно-бытового назначения и иных элементов не является недостатком. Попадание атмосферных осадков, образование снега и наледи, намокание и последующее высыхание поверхности, воздействие пыли, ветра, солнечного света и температурных перепадов являются обычными особенностями эксплуатации открытой террасы при условии исправности предусмотренных проектом гидроизоляции и водоотведения и соблюдения обязательных требований.</w:t>
      </w:r>
    </w:p>
    <w:p w14:paraId="134CA939">
      <w:pPr>
        <w:keepNext w:val="0"/>
        <w:widowControl/>
        <w:spacing w:after="60" w:line="245" w:lineRule="auto"/>
        <w:ind w:firstLine="340"/>
        <w:jc w:val="both"/>
      </w:pPr>
      <w:r>
        <w:rPr>
          <w:rFonts w:ascii="Times New Roman" w:hAnsi="Times New Roman" w:eastAsia="Times New Roman" w:cs="Times New Roman"/>
          <w:b w:val="0"/>
          <w:i w:val="0"/>
          <w:color w:val="000000"/>
          <w:sz w:val="22"/>
        </w:rPr>
        <w:t>12.10. Наличие террасы, ее уровень, связь с Квартирой, границы, ограждения и покрытие определяются только утвержденным проектным решением и Приложением № 2. При наличии террасы на перекрытии, эксплуатируемой кровле либо иной конструкции Дома площадь и режим пользования террасой не означают перехода в индивидуальную собственность несущей плиты, кровельного покрытия, гидроизоляции и иных элементов общего имущества.</w:t>
      </w:r>
    </w:p>
    <w:p w14:paraId="3D548CE4">
      <w:pPr>
        <w:keepNext w:val="0"/>
        <w:widowControl/>
        <w:spacing w:after="60" w:line="245" w:lineRule="auto"/>
        <w:ind w:firstLine="340"/>
        <w:jc w:val="both"/>
      </w:pPr>
      <w:r>
        <w:rPr>
          <w:rFonts w:ascii="Times New Roman" w:hAnsi="Times New Roman" w:eastAsia="Times New Roman" w:cs="Times New Roman"/>
          <w:b w:val="0"/>
          <w:i w:val="0"/>
          <w:color w:val="000000"/>
          <w:sz w:val="22"/>
        </w:rPr>
        <w:t>12.11. Если проектом предусмотрен непосредственный выход из конкретной Квартиры на террасу, порядок пользования такой террасой определяется проектом, оформленными правами и законом. Участник уведомлен о размещении террас при других квартирах и обязуется не препятствовать их законному использованию. Настоящий Договор сам по себе не устанавливает исключительного права на участок, крышу, двор или иное общее имущество в обход обязательного порядка.</w:t>
      </w:r>
    </w:p>
    <w:p w14:paraId="475DA1E5">
      <w:pPr>
        <w:keepNext w:val="0"/>
        <w:widowControl/>
        <w:spacing w:after="60" w:line="245" w:lineRule="auto"/>
        <w:ind w:firstLine="340"/>
        <w:jc w:val="both"/>
      </w:pPr>
      <w:r>
        <w:rPr>
          <w:rFonts w:ascii="Times New Roman" w:hAnsi="Times New Roman" w:eastAsia="Times New Roman" w:cs="Times New Roman"/>
          <w:b w:val="0"/>
          <w:i w:val="0"/>
          <w:color w:val="000000"/>
          <w:sz w:val="22"/>
        </w:rPr>
        <w:t>12.12. Проектное размещение террас и различия в их конфигурации сами по себе не являются недостатком Квартиры. Не допускаются самовольные расширение границ, устройство выходов, ограждений, надстроек, остекления, замена покрытия, повреждение гидроизоляции и перекрытие доступа к общедомовым сетям. Законный доступ уполномоченных лиц для осмотра, обслуживания и аварийных работ должен быть обеспечен. Это условие не ограничивает требования при доказанном нарушении закона, проекта или качества.</w:t>
      </w:r>
    </w:p>
    <w:p w14:paraId="480F7D0D">
      <w:pPr>
        <w:keepNext w:val="0"/>
        <w:widowControl/>
        <w:spacing w:after="60" w:line="245" w:lineRule="auto"/>
        <w:ind w:firstLine="340"/>
        <w:jc w:val="both"/>
      </w:pPr>
      <w:r>
        <w:rPr>
          <w:rFonts w:ascii="Times New Roman" w:hAnsi="Times New Roman" w:eastAsia="Times New Roman" w:cs="Times New Roman"/>
          <w:b w:val="0"/>
          <w:i w:val="0"/>
          <w:color w:val="000000"/>
          <w:sz w:val="22"/>
        </w:rPr>
        <w:t>12.13. Изменение после ввода Дома режима пользования террасой, ее границ, ограждений или конструкции допускается с соблюдением закона, необходимых решений собственников, согласований переустройства и ограничений территории. Такие изменения не относятся к обязательствам Застройщика, если их необходимость не вызвана недостатком, за который он отвечает.</w:t>
      </w:r>
    </w:p>
    <w:p w14:paraId="2ADFEE59">
      <w:pPr>
        <w:keepNext w:val="0"/>
        <w:widowControl/>
        <w:spacing w:after="60" w:line="245" w:lineRule="auto"/>
        <w:ind w:firstLine="340"/>
        <w:jc w:val="both"/>
      </w:pPr>
      <w:r>
        <w:rPr>
          <w:rFonts w:ascii="Times New Roman" w:hAnsi="Times New Roman" w:eastAsia="Times New Roman" w:cs="Times New Roman"/>
          <w:b w:val="0"/>
          <w:i w:val="0"/>
          <w:color w:val="000000"/>
          <w:sz w:val="22"/>
        </w:rPr>
        <w:t>12.14. Участник обязан довести правила настоящего раздела до проживающих, арендаторов, подрядчиков по ремонту, правопреемников и последующих приобретателей Квартиры, а при уступке прав или отчуждении Квартиры — включить в соответствующий договор указание на наличие и режим использования Летних помещений и передать инструкцию по эксплуатации. Действия указанных лиц для целей ответственности по Договору рассматриваются как действия Участника в пределах, установленных законом.</w:t>
      </w:r>
    </w:p>
    <w:p w14:paraId="1E267096">
      <w:pPr>
        <w:keepNext w:val="0"/>
        <w:widowControl/>
        <w:spacing w:after="60" w:line="245" w:lineRule="auto"/>
        <w:ind w:firstLine="340"/>
        <w:jc w:val="both"/>
      </w:pPr>
      <w:r>
        <w:rPr>
          <w:rFonts w:ascii="Times New Roman" w:hAnsi="Times New Roman" w:eastAsia="Times New Roman" w:cs="Times New Roman"/>
          <w:b w:val="0"/>
          <w:i w:val="0"/>
          <w:color w:val="000000"/>
          <w:sz w:val="22"/>
        </w:rPr>
        <w:t>12.15. При уступке прав и последующем отчуждении Квартиры Участник обязан письменно уведомить правопреемника о положениях, предусмотренных настоящим разделом.</w:t>
      </w:r>
    </w:p>
    <w:p w14:paraId="272DD4C4">
      <w:pPr>
        <w:pStyle w:val="2"/>
        <w:keepNext/>
        <w:widowControl/>
        <w:spacing w:before="160" w:after="80" w:line="245" w:lineRule="auto"/>
        <w:ind w:firstLine="0"/>
        <w:jc w:val="both"/>
      </w:pPr>
      <w:r>
        <w:rPr>
          <w:rFonts w:ascii="Times New Roman" w:hAnsi="Times New Roman" w:eastAsia="Times New Roman" w:cs="Times New Roman"/>
          <w:b/>
          <w:i w:val="0"/>
          <w:color w:val="000000"/>
          <w:sz w:val="22"/>
        </w:rPr>
        <w:t>13. ОСОБЫЕ УСЛОВИЯ РАСПОЛОЖЕНИЯ ДОМА</w:t>
      </w:r>
    </w:p>
    <w:p w14:paraId="056BD8E0">
      <w:pPr>
        <w:keepNext w:val="0"/>
        <w:widowControl/>
        <w:spacing w:after="60" w:line="245" w:lineRule="auto"/>
        <w:ind w:firstLine="340"/>
        <w:jc w:val="both"/>
      </w:pPr>
      <w:r>
        <w:rPr>
          <w:rFonts w:ascii="Times New Roman" w:hAnsi="Times New Roman" w:eastAsia="Times New Roman" w:cs="Times New Roman"/>
          <w:b w:val="0"/>
          <w:i w:val="0"/>
          <w:color w:val="000000"/>
          <w:sz w:val="22"/>
        </w:rPr>
        <w:t>13.1. Участник до заключения Договора уведомлен, что земельный участок с кадастровым номером 39:15:132312:509 расположен в границах полос воздушных подходов аэродрома государственной авиации Калининград (Чкаловск), а часть участка — в границах зоны регулирования застройки и хозяйственной деятельности ЗРЗ-6 объекта культурного наследия регионального значения «Комплекс зданий хирургической университетской клиники и поликлиники», 1873 год, реестровый номер зоны 39:15-6.8743. Участник ознакомлен с указанными особенностями расположения, связанными с ними ограничениями и возможностью авиационного шума и учитывает их при приобретении Квартиры.</w:t>
      </w:r>
    </w:p>
    <w:p w14:paraId="3A3F8AC4">
      <w:pPr>
        <w:keepNext w:val="0"/>
        <w:widowControl/>
        <w:spacing w:after="60" w:line="245" w:lineRule="auto"/>
        <w:ind w:firstLine="340"/>
        <w:jc w:val="both"/>
      </w:pPr>
      <w:r>
        <w:rPr>
          <w:rFonts w:ascii="Times New Roman" w:hAnsi="Times New Roman" w:eastAsia="Times New Roman" w:cs="Times New Roman"/>
          <w:b w:val="0"/>
          <w:i w:val="0"/>
          <w:color w:val="000000"/>
          <w:sz w:val="22"/>
        </w:rPr>
        <w:t>13.2. Участник обязуется соблюдать установленные ограничения и правила эксплуатации, не допускать самовольного изменения фасадов, остекления, конструкций и устройств, влияющих на звукоизоляцию и воздухообмен. Размещение наружных блоков кондиционеров, антенн и иных технических устройств на фасадах, выходящих на улицу Барнаульскую, не допускается в нарушение установленных ограничений территории и проектных решений.</w:t>
      </w:r>
    </w:p>
    <w:p w14:paraId="58F6E414">
      <w:pPr>
        <w:keepNext w:val="0"/>
        <w:widowControl/>
        <w:spacing w:after="60" w:line="245" w:lineRule="auto"/>
        <w:ind w:firstLine="340"/>
        <w:jc w:val="both"/>
      </w:pPr>
      <w:r>
        <w:rPr>
          <w:rFonts w:ascii="Times New Roman" w:hAnsi="Times New Roman" w:eastAsia="Times New Roman" w:cs="Times New Roman"/>
          <w:b w:val="0"/>
          <w:i w:val="0"/>
          <w:color w:val="000000"/>
          <w:sz w:val="22"/>
        </w:rPr>
        <w:t>13.3. При соответствии передаваемого Объекта условиям Договора, утвержденной проектной документации и обязательным требованиям указанные особенности расположения, ограничения территории и внешний шум в допустимых пределах сами по себе не являются недостатком Объекта и не служат основанием для отказа от приемки, уменьшения Цены Договора, расторжения Договора, взыскания убытков, компенсации либо возложения на Застройщика дополнительных работ. Застройщик не предоставляет отдельной гарантии полного отсутствия внешнего шума и не определяет режим эксплуатации аэродрома.</w:t>
      </w:r>
    </w:p>
    <w:p w14:paraId="5979BB6D">
      <w:pPr>
        <w:keepNext w:val="0"/>
        <w:widowControl/>
        <w:spacing w:after="60" w:line="245" w:lineRule="auto"/>
        <w:ind w:firstLine="340"/>
        <w:jc w:val="both"/>
      </w:pPr>
      <w:r>
        <w:rPr>
          <w:rFonts w:ascii="Times New Roman" w:hAnsi="Times New Roman" w:eastAsia="Times New Roman" w:cs="Times New Roman"/>
          <w:b w:val="0"/>
          <w:i w:val="0"/>
          <w:color w:val="000000"/>
          <w:sz w:val="22"/>
        </w:rPr>
        <w:t>13.4. Застройщик не отвечает за ухудшение звукоизоляции или воздухообмена, если докажет, что оно вызвано нарушением правил эксплуатации либо вмешательством Участника или привлеченных им лиц в конструкции и оборудование. При уступке прав и последующем отчуждении Квартиры Участник передает правопреемнику сведения, предусмотренные настоящим разделом.</w:t>
      </w:r>
    </w:p>
    <w:p w14:paraId="06180BF2">
      <w:pPr>
        <w:pStyle w:val="2"/>
        <w:keepNext/>
        <w:widowControl/>
        <w:spacing w:before="160" w:after="80" w:line="245" w:lineRule="auto"/>
        <w:ind w:firstLine="0"/>
        <w:jc w:val="left"/>
      </w:pPr>
      <w:r>
        <w:rPr>
          <w:rFonts w:ascii="Times New Roman" w:hAnsi="Times New Roman" w:eastAsia="Times New Roman" w:cs="Times New Roman"/>
          <w:b/>
          <w:i w:val="0"/>
          <w:color w:val="000000"/>
          <w:sz w:val="22"/>
        </w:rPr>
        <w:t>14. КАЧЕСТВО, СТЕПЕНЬ ГОТОВНОСТИ, ДОПУСТИМЫЕ ОТКЛОНЕНИЯ И ГАРАНТИЙНЫЕ ОБЯЗАТЕЛЬСТВА</w:t>
      </w:r>
    </w:p>
    <w:p w14:paraId="4395BD2D">
      <w:pPr>
        <w:keepNext w:val="0"/>
        <w:widowControl/>
        <w:spacing w:after="60" w:line="245" w:lineRule="auto"/>
        <w:ind w:firstLine="340"/>
        <w:jc w:val="both"/>
      </w:pPr>
      <w:r>
        <w:rPr>
          <w:rFonts w:ascii="Times New Roman" w:hAnsi="Times New Roman" w:eastAsia="Times New Roman" w:cs="Times New Roman"/>
          <w:b w:val="0"/>
          <w:i w:val="0"/>
          <w:color w:val="000000"/>
          <w:sz w:val="22"/>
        </w:rPr>
        <w:t>14.1. Состав, оборудование и степень готовности Квартиры определяются Приложением № 3, составленным в соответствии с утвержденной проектной документацией и обязательными требованиями. Работы, материалы, оборудование и дополнительные характеристики, не предусмотренные Договором и проектной документацией и не являющиеся обязательными по закону, в Цену Договора не входят и Застройщиком не предоставляются.</w:t>
      </w:r>
    </w:p>
    <w:p w14:paraId="02B9B21E">
      <w:pPr>
        <w:keepNext w:val="0"/>
        <w:widowControl/>
        <w:spacing w:after="60" w:line="245" w:lineRule="auto"/>
        <w:ind w:firstLine="340"/>
        <w:jc w:val="both"/>
      </w:pPr>
      <w:r>
        <w:rPr>
          <w:rFonts w:ascii="Times New Roman" w:hAnsi="Times New Roman" w:eastAsia="Times New Roman" w:cs="Times New Roman"/>
          <w:b w:val="0"/>
          <w:i w:val="0"/>
          <w:color w:val="000000"/>
          <w:sz w:val="22"/>
        </w:rPr>
        <w:t>14.2. Если Приложением № 3 прямо не установлены конкретные марка, модель, производитель, артикул, коллекция, оттенок, фактура, рисунок, формат, страна происхождения или иная индивидуализирующая характеристика, их выбор осуществляется Застройщиком по своему усмотрению с учетом проектной и рабочей документации, обязательных показателей, фактической доступности и условий поставки. Застройщик вправе заменять материалы, изделия и оборудование на иные, равнозначные по назначению, безопасности и обязательным техническим характеристикам, без согласования с Участником. Отличия оттенков, рисунка, текстуры, блеска, структуры и иных естественных характеристик материалов, в том числе между партиями, образцами, визуализациями и фактически примененными материалами, сами по себе недостатком не являются.</w:t>
      </w:r>
    </w:p>
    <w:p w14:paraId="36FE7362">
      <w:pPr>
        <w:keepNext w:val="0"/>
        <w:widowControl/>
        <w:spacing w:after="60" w:line="245" w:lineRule="auto"/>
        <w:ind w:firstLine="340"/>
        <w:jc w:val="both"/>
      </w:pPr>
      <w:r>
        <w:rPr>
          <w:rFonts w:ascii="Times New Roman" w:hAnsi="Times New Roman" w:eastAsia="Times New Roman" w:cs="Times New Roman"/>
          <w:b w:val="0"/>
          <w:i w:val="0"/>
          <w:color w:val="000000"/>
          <w:sz w:val="22"/>
        </w:rPr>
        <w:t>14.3. Гарантийный срок на Объект, за исключением технологического и инженерного оборудования, результата производства отделочных работ и элементов отделки, составляет 3 (три) года со дня передачи Объекта Участнику. Гарантийный срок на технологическое и инженерное оборудование составляет 3 (три) года со дня подписания первого передаточного акта или иного документа о передаче объекта долевого строительства в Доме. Гарантийный срок на результат производства отделочных работ и входящие в состав Объекта элементы отделки, предусмотренные Приложением № 3 (если применимо), составляет 1 (один) год со дня передачи Объекта Участнику.</w:t>
      </w:r>
    </w:p>
    <w:p w14:paraId="14633227">
      <w:pPr>
        <w:keepNext w:val="0"/>
        <w:widowControl/>
        <w:spacing w:after="60" w:line="245" w:lineRule="auto"/>
        <w:ind w:firstLine="340"/>
        <w:jc w:val="both"/>
      </w:pPr>
      <w:r>
        <w:rPr>
          <w:rFonts w:ascii="Times New Roman" w:hAnsi="Times New Roman" w:eastAsia="Times New Roman" w:cs="Times New Roman"/>
          <w:b w:val="0"/>
          <w:i w:val="0"/>
          <w:color w:val="000000"/>
          <w:sz w:val="22"/>
        </w:rPr>
        <w:t>14.4. Не признаются недостатками и гарантийными случаями особенности, прямо предусмотренные Договором и Приложением № 3, отсутствие не включенных в состав Объекта работ, оборудования и чистовой отделки, а также отклонения геометрических, линейных, высотных, плоскостных, визуальных и иных показателей, шероховатость, неровности, раковины, поры, следы инструмента, усадочные и волосяные трещины, технологические швы, перепады оттенка и иные особенности, если они находятся в пределах допусков, установленных обязательными требованиями, проектной и рабочей документацией, стандартами и техническими условиями изготовителей либо обусловлены технологией выполнения работ и не приводят к ухудшению обязательных показателей качества, безопасности и пригодности Квартиры для проживания.</w:t>
      </w:r>
    </w:p>
    <w:p w14:paraId="270E4985">
      <w:pPr>
        <w:keepNext w:val="0"/>
        <w:widowControl/>
        <w:spacing w:after="60" w:line="245" w:lineRule="auto"/>
        <w:ind w:firstLine="340"/>
        <w:jc w:val="both"/>
        <w:rPr>
          <w:rFonts w:hint="default"/>
          <w:lang w:val="ru-RU"/>
        </w:rPr>
      </w:pPr>
      <w:r>
        <w:rPr>
          <w:rFonts w:ascii="Times New Roman" w:hAnsi="Times New Roman" w:eastAsia="Times New Roman" w:cs="Times New Roman"/>
          <w:b w:val="0"/>
          <w:i w:val="0"/>
          <w:color w:val="000000"/>
          <w:sz w:val="22"/>
        </w:rPr>
        <w:t>14.5. Квартира передается без чистовой и финишной отделки, за исключением работ, прямо предусмотренных Приложением № 3. Предусмотренные проектом штукатурка и стяжка являются основаниями под последующую отделку и не означают готовности поверхностей под любые индивидуально выбранные Участником декоративные покрытия. Необходимую для таких покрытий дополнительную технологическую подготовку Участник выполняет самостоятельно и за свой счет при условии соответствия переданных оснований проектной документации и обязательным требованиям. Потолки передаются без отделки.</w:t>
      </w:r>
    </w:p>
    <w:p w14:paraId="5BE864D8">
      <w:pPr>
        <w:keepNext w:val="0"/>
        <w:widowControl/>
        <w:spacing w:after="60" w:line="245" w:lineRule="auto"/>
        <w:ind w:firstLine="340"/>
        <w:jc w:val="both"/>
      </w:pPr>
      <w:r>
        <w:rPr>
          <w:rFonts w:ascii="Times New Roman" w:hAnsi="Times New Roman" w:eastAsia="Times New Roman" w:cs="Times New Roman"/>
          <w:b w:val="0"/>
          <w:i w:val="0"/>
          <w:color w:val="000000"/>
          <w:sz w:val="22"/>
        </w:rPr>
        <w:t>14.6. Чистовая и бытовая уборка, мойка окон и оборудования перед передачей не входят в состав работ, если иное не предусмотрено Приложением № 3. Допускаются удаляемые уборкой технологическая пыль, маркировка и следы строительного процесса, не скрывающие недостатки и не требующие ремонта элемента. Застройщик удаляет крупный и опасный строительный мусор, обеспечивает безопасный доступ и возможность полноценного осмотра. Загрязнение, удаление которого требует ремонта, повреждает элемент либо препятствует проверке качества, не может быть отнесено к обычной уборке за счет Участника.</w:t>
      </w:r>
    </w:p>
    <w:p w14:paraId="11FBF061">
      <w:pPr>
        <w:keepNext w:val="0"/>
        <w:widowControl/>
        <w:spacing w:after="60" w:line="245" w:lineRule="auto"/>
        <w:ind w:firstLine="340"/>
        <w:jc w:val="both"/>
        <w:rPr>
          <w:rFonts w:ascii="Times New Roman" w:hAnsi="Times New Roman" w:eastAsia="Times New Roman" w:cs="Times New Roman"/>
          <w:b w:val="0"/>
          <w:i w:val="0"/>
          <w:color w:val="000000"/>
          <w:sz w:val="22"/>
        </w:rPr>
      </w:pPr>
      <w:r>
        <w:rPr>
          <w:rFonts w:ascii="Times New Roman" w:hAnsi="Times New Roman" w:eastAsia="Times New Roman" w:cs="Times New Roman"/>
          <w:b w:val="0"/>
          <w:i w:val="0"/>
          <w:color w:val="000000"/>
          <w:sz w:val="22"/>
        </w:rPr>
        <w:t xml:space="preserve">14.7. Не включенные в согласованный состав Квартиры мебель, бытовая техника, декоративные покрытия, межкомнатные двери, светильники и иные дополнительно приобретаемые элементы Участник устанавливает самостоятельно с соблюдением обязательных требований. </w:t>
      </w:r>
    </w:p>
    <w:p w14:paraId="26D102D3">
      <w:pPr>
        <w:keepNext w:val="0"/>
        <w:widowControl/>
        <w:spacing w:after="60" w:line="245" w:lineRule="auto"/>
        <w:ind w:firstLine="340"/>
        <w:jc w:val="both"/>
      </w:pPr>
      <w:r>
        <w:rPr>
          <w:rFonts w:ascii="Times New Roman" w:hAnsi="Times New Roman" w:eastAsia="Times New Roman" w:cs="Times New Roman"/>
          <w:b w:val="0"/>
          <w:i w:val="0"/>
          <w:color w:val="000000"/>
          <w:sz w:val="22"/>
        </w:rPr>
        <w:t>14.8. Гарантийная ответственность Застройщика не распространяется на недостатки и повреждения, если они возникли вследствие нормального износа и старения; естественной усадки, высыхания и температурно-влажностных деформаций в пределах допустимых требований; нарушения температурного, влажностного или вентиляционного режима; образования конденсата и плесени вследствие ненадлежащей эксплуатации; перегрузки конструкций; механического, химического, термического или иного воздействия; аварий и действий третьих лиц; деятельности управляющей, ресурсоснабжающей или иной организации после передачи; ненадлежащего ремонта, переустройства, перепланировки, отделочных или монтажных работ Участника либо привлеченных им лиц; сверления, штробления, крепления предметов и повреждения скрытых сетей; вмешательства в окна, фасад, Летнее помещение, гидроизоляцию, вентиляцию, отопление, водоснабжение, канализацию, газоснабжение, электроснабжение и иные инженерные системы; установки не предусмотренного Договором оборудования; нарушения инструкции по эксплуатации, паспортов изготовителей и обязательных правил обслуживания; несвоевременного принятия мер по предотвращению увеличения вреда.</w:t>
      </w:r>
    </w:p>
    <w:p w14:paraId="52D1A6C7">
      <w:pPr>
        <w:keepNext w:val="0"/>
        <w:widowControl/>
        <w:spacing w:after="60" w:line="245" w:lineRule="auto"/>
        <w:ind w:firstLine="340"/>
        <w:jc w:val="both"/>
      </w:pPr>
      <w:r>
        <w:rPr>
          <w:rFonts w:ascii="Times New Roman" w:hAnsi="Times New Roman" w:eastAsia="Times New Roman" w:cs="Times New Roman"/>
          <w:b w:val="0"/>
          <w:i w:val="0"/>
          <w:color w:val="000000"/>
          <w:sz w:val="22"/>
        </w:rPr>
        <w:t>14.9. Участник обязан незамедлительно принять разумные меры к предотвращению увеличения ущерба, прекратить эксплуатацию неисправного элемента, письменно сообщить Застройщику о выявленном недостатке с указанием места, характера, даты и обстоятельств обнаружения, по возможности приложить фото- и видеоматериалы и обеспечить доступ для осмотра, диагностики и выполнения работ. Необоснованный недопуск, изменение или уничтожение спорного элемента до осмотра учитываются при установлении причин недостатка и размера ответственности в соответствии с законом.</w:t>
      </w:r>
    </w:p>
    <w:p w14:paraId="65D2F8B1">
      <w:pPr>
        <w:keepNext w:val="0"/>
        <w:widowControl/>
        <w:spacing w:after="60" w:line="245" w:lineRule="auto"/>
        <w:ind w:firstLine="340"/>
        <w:jc w:val="both"/>
      </w:pPr>
      <w:r>
        <w:rPr>
          <w:rFonts w:ascii="Times New Roman" w:hAnsi="Times New Roman" w:eastAsia="Times New Roman" w:cs="Times New Roman"/>
          <w:b w:val="0"/>
          <w:i w:val="0"/>
          <w:color w:val="000000"/>
          <w:sz w:val="22"/>
        </w:rPr>
        <w:t>14.10. До предоставления Застройщику разумной возможности осмотра и исполнения гарантийных обязанностей Участник не должен самостоятельно устранять спорный недостаток или поручать его устранение третьим лицам, кроме неотложных аварийных мер, необходимых для предотвращения вреда людям или имуществу. Участник обязан зафиксировать состояние элемента до аварийного вмешательства и сохранить подтверждающие документы.</w:t>
      </w:r>
    </w:p>
    <w:p w14:paraId="56B5C909">
      <w:pPr>
        <w:keepNext w:val="0"/>
        <w:widowControl/>
        <w:spacing w:after="60" w:line="245" w:lineRule="auto"/>
        <w:ind w:firstLine="340"/>
        <w:jc w:val="both"/>
      </w:pPr>
      <w:r>
        <w:rPr>
          <w:rFonts w:ascii="Times New Roman" w:hAnsi="Times New Roman" w:eastAsia="Times New Roman" w:cs="Times New Roman"/>
          <w:b w:val="0"/>
          <w:i w:val="0"/>
          <w:color w:val="000000"/>
          <w:sz w:val="22"/>
        </w:rPr>
        <w:t>14.11. В отношении подтвержденного недостатка, не являющегося существенным, Стороны в соответствии с частью 2 статьи 7 Закона № 214-ФЗ устанавливают первоочередной способ урегулирования — безвозмездное устранение недостатка Застройщиком в согласованный разумный срок. До истечения этого срока Участник обязан предоставить Застройщику возможность исполнить указанную обязанность. Требования о соразмерном уменьшении Цены или возмещении расходов рассматриваются в случаях и порядке, предусмотренных законом, в том числе при отказе Застройщика либо неисполнении им согласованной обязанности в установленный срок.</w:t>
      </w:r>
    </w:p>
    <w:p w14:paraId="7E057D1A">
      <w:pPr>
        <w:keepNext w:val="0"/>
        <w:widowControl/>
        <w:spacing w:after="60" w:line="245" w:lineRule="auto"/>
        <w:ind w:firstLine="340"/>
        <w:jc w:val="both"/>
      </w:pPr>
      <w:r>
        <w:rPr>
          <w:rFonts w:ascii="Times New Roman" w:hAnsi="Times New Roman" w:eastAsia="Times New Roman" w:cs="Times New Roman"/>
          <w:b w:val="0"/>
          <w:i w:val="0"/>
          <w:color w:val="000000"/>
          <w:sz w:val="22"/>
        </w:rPr>
        <w:t>14.12. Срок устранения подтвержденного недостатка согласовывается Сторонами в соответствии с Законом № 214-ФЗ с учетом характера и технологии работ, сезонности, необходимости изготовления или заказа материалов и оборудования, получения доступа, согласований и соблюдения обязательных технологических перерывов. Участник обязан принять результат устранения недостатка и подписать соответствующий документ либо представить мотивированные замечания.</w:t>
      </w:r>
    </w:p>
    <w:p w14:paraId="7055FF12">
      <w:pPr>
        <w:keepNext w:val="0"/>
        <w:widowControl/>
        <w:spacing w:after="60" w:line="245" w:lineRule="auto"/>
        <w:ind w:firstLine="340"/>
        <w:jc w:val="both"/>
      </w:pPr>
      <w:r>
        <w:rPr>
          <w:rFonts w:ascii="Times New Roman" w:hAnsi="Times New Roman" w:eastAsia="Times New Roman" w:cs="Times New Roman"/>
          <w:b w:val="0"/>
          <w:i w:val="0"/>
          <w:color w:val="000000"/>
          <w:sz w:val="22"/>
        </w:rPr>
        <w:t>14.13. Застройщик передает Участнику инструкцию по эксплуатации Квартиры. Требования инструкции, паспортов и руководств изготовителей, а также обязательные правила управляющей организации подлежат соблюдению для безопасной эксплуатации. Их нарушение исключает гарантийную ответственность в той части, в которой находится в причинной связи с возникшим недостатком.</w:t>
      </w:r>
    </w:p>
    <w:p w14:paraId="5D67A6DB">
      <w:pPr>
        <w:keepNext w:val="0"/>
        <w:widowControl/>
        <w:spacing w:after="60" w:line="245" w:lineRule="auto"/>
        <w:ind w:firstLine="340"/>
        <w:jc w:val="both"/>
      </w:pPr>
      <w:r>
        <w:rPr>
          <w:rFonts w:ascii="Times New Roman" w:hAnsi="Times New Roman" w:eastAsia="Times New Roman" w:cs="Times New Roman"/>
          <w:b w:val="0"/>
          <w:i w:val="0"/>
          <w:color w:val="000000"/>
          <w:sz w:val="22"/>
        </w:rPr>
        <w:t>14.14. При уступке прав и последующем отчуждении Квартиры Участник обязан письменно уведомить правопреемника о положениях, предусмотренных настоящим разделом.</w:t>
      </w:r>
    </w:p>
    <w:p w14:paraId="30DF2FAF">
      <w:pPr>
        <w:pStyle w:val="2"/>
        <w:keepNext/>
        <w:widowControl/>
        <w:spacing w:before="160" w:after="80" w:line="245" w:lineRule="auto"/>
        <w:ind w:firstLine="0"/>
        <w:jc w:val="left"/>
      </w:pPr>
      <w:r>
        <w:rPr>
          <w:rFonts w:ascii="Times New Roman" w:hAnsi="Times New Roman" w:eastAsia="Times New Roman" w:cs="Times New Roman"/>
          <w:b/>
          <w:i w:val="0"/>
          <w:color w:val="000000"/>
          <w:sz w:val="22"/>
        </w:rPr>
        <w:t>15. УСТУПКА ПРАВ И ПЕРЕМЕНА ЛИЦ</w:t>
      </w:r>
    </w:p>
    <w:p w14:paraId="6840B8F7">
      <w:pPr>
        <w:keepNext w:val="0"/>
        <w:widowControl/>
        <w:spacing w:after="60" w:line="245" w:lineRule="auto"/>
        <w:ind w:firstLine="340"/>
        <w:jc w:val="both"/>
      </w:pPr>
      <w:r>
        <w:rPr>
          <w:rFonts w:ascii="Times New Roman" w:hAnsi="Times New Roman" w:eastAsia="Times New Roman" w:cs="Times New Roman"/>
          <w:b w:val="0"/>
          <w:i w:val="0"/>
          <w:color w:val="000000"/>
          <w:sz w:val="22"/>
        </w:rPr>
        <w:t>15.1. Уступка прав требований Участником допускается с момента государственной регистрации Договора до подписания передаточного акта (или иного документа о передаче) при полной уплате Цены либо одновременно с переводом долга на нового участника в порядке, установленном законом.</w:t>
      </w:r>
    </w:p>
    <w:p w14:paraId="5A743B91">
      <w:pPr>
        <w:keepNext w:val="0"/>
        <w:widowControl/>
        <w:spacing w:after="60" w:line="245" w:lineRule="auto"/>
        <w:ind w:firstLine="340"/>
        <w:jc w:val="both"/>
      </w:pPr>
      <w:r>
        <w:rPr>
          <w:rFonts w:ascii="Times New Roman" w:hAnsi="Times New Roman" w:eastAsia="Times New Roman" w:cs="Times New Roman"/>
          <w:b w:val="0"/>
          <w:i w:val="0"/>
          <w:color w:val="000000"/>
          <w:sz w:val="22"/>
        </w:rPr>
        <w:t>15.2. При полной оплате Цены отдельное согласие Застройщика на уступку не требуется, если иное прямо не следует из закона, кредитного договора или зарегистрированного обременения. Перевод непогашенного долга допускается только с предварительного письменного согласия Застройщика.</w:t>
      </w:r>
    </w:p>
    <w:p w14:paraId="6337BC20">
      <w:pPr>
        <w:keepNext w:val="0"/>
        <w:widowControl/>
        <w:spacing w:after="60" w:line="245" w:lineRule="auto"/>
        <w:ind w:firstLine="340"/>
        <w:jc w:val="both"/>
      </w:pPr>
      <w:r>
        <w:rPr>
          <w:rFonts w:ascii="Times New Roman" w:hAnsi="Times New Roman" w:eastAsia="Times New Roman" w:cs="Times New Roman"/>
          <w:b w:val="0"/>
          <w:i w:val="0"/>
          <w:color w:val="000000"/>
          <w:sz w:val="22"/>
        </w:rPr>
        <w:t>15.3. Участник обязан в течение 5 (пяти) рабочих дней после государственной регистрации уступки предоставить Застройщику ее копию, сведения и документы нового участника, контактные данные, а также обеспечить внесение изменений в договор счета эскроу и кредитную документацию.</w:t>
      </w:r>
    </w:p>
    <w:p w14:paraId="73F0CD54">
      <w:pPr>
        <w:keepNext w:val="0"/>
        <w:widowControl/>
        <w:spacing w:after="60" w:line="245" w:lineRule="auto"/>
        <w:ind w:firstLine="340"/>
        <w:jc w:val="both"/>
      </w:pPr>
      <w:r>
        <w:rPr>
          <w:rFonts w:ascii="Times New Roman" w:hAnsi="Times New Roman" w:eastAsia="Times New Roman" w:cs="Times New Roman"/>
          <w:b w:val="0"/>
          <w:i w:val="0"/>
          <w:color w:val="000000"/>
          <w:sz w:val="22"/>
        </w:rPr>
        <w:t>15.4. Новый участник принимает права и обязанности по Договору в установленном законом порядке, включая порядок расчета и перерасчета площади, условия расчетов через счет эскроу, особенности аренды и ипотеки участка, проектные изменения, сроки и приемку, степень готовности, гарантию, ограничения эксплуатации фасадов и Летних помещений, а также сведения о расположении Дома. Участник передает правопреемнику Договор с приложениями, предоставленную документацию и инструкцию по эксплуатации при ее получении. Уступка не создает дополнительных ограничений прав гражданина сверх допускаемых законом.</w:t>
      </w:r>
    </w:p>
    <w:p w14:paraId="17F65F54">
      <w:pPr>
        <w:keepNext w:val="0"/>
        <w:widowControl/>
        <w:spacing w:after="60" w:line="245" w:lineRule="auto"/>
        <w:ind w:firstLine="340"/>
        <w:jc w:val="both"/>
      </w:pPr>
      <w:r>
        <w:rPr>
          <w:rFonts w:ascii="Times New Roman" w:hAnsi="Times New Roman" w:eastAsia="Times New Roman" w:cs="Times New Roman"/>
          <w:b w:val="0"/>
          <w:i w:val="0"/>
          <w:color w:val="000000"/>
          <w:sz w:val="22"/>
        </w:rPr>
        <w:t>15.5. Застройщик вправе уступать ПАО Сбербанк и (или) иному уполномоченному банку денежные и иные требования, передавать права в залог и совершать иные обеспечительные сделки, связанные с проектным финансированием и не изменяющие обязанность передать Объект. Замена застройщика и перевод его обязанности перед Участником допускаются только в порядке, предусмотренном законодательством.</w:t>
      </w:r>
    </w:p>
    <w:p w14:paraId="3FA154A8">
      <w:pPr>
        <w:pStyle w:val="2"/>
        <w:keepNext/>
        <w:widowControl/>
        <w:spacing w:before="160" w:after="80" w:line="245" w:lineRule="auto"/>
        <w:ind w:firstLine="0"/>
        <w:jc w:val="left"/>
      </w:pPr>
      <w:r>
        <w:rPr>
          <w:rFonts w:ascii="Times New Roman" w:hAnsi="Times New Roman" w:eastAsia="Times New Roman" w:cs="Times New Roman"/>
          <w:b/>
          <w:i w:val="0"/>
          <w:color w:val="000000"/>
          <w:sz w:val="22"/>
        </w:rPr>
        <w:t>16. ОТВЕТСТВЕННОСТЬ СТОРОН И ОБСТОЯТЕЛЬСТВА НЕПРЕОДОЛИМОЙ СИЛЫ</w:t>
      </w:r>
    </w:p>
    <w:p w14:paraId="689F63F8">
      <w:pPr>
        <w:keepNext w:val="0"/>
        <w:widowControl/>
        <w:spacing w:after="60" w:line="245" w:lineRule="auto"/>
        <w:ind w:firstLine="340"/>
        <w:jc w:val="both"/>
      </w:pPr>
      <w:r>
        <w:rPr>
          <w:rFonts w:ascii="Times New Roman" w:hAnsi="Times New Roman" w:eastAsia="Times New Roman" w:cs="Times New Roman"/>
          <w:b w:val="0"/>
          <w:i w:val="0"/>
          <w:color w:val="000000"/>
          <w:sz w:val="22"/>
        </w:rPr>
        <w:t>16.1. За нарушение обязательств Стороны несут ответственность в соответствии с Законом № 214-ФЗ, Гражданским кодексом Российской Федерации и иными применимыми нормами. Ничто в Договоре не исключает ответственность, которую запрещено исключать или ограничивать.</w:t>
      </w:r>
    </w:p>
    <w:p w14:paraId="57D90D80">
      <w:pPr>
        <w:keepNext w:val="0"/>
        <w:widowControl/>
        <w:spacing w:after="60" w:line="245" w:lineRule="auto"/>
        <w:ind w:firstLine="340"/>
        <w:jc w:val="both"/>
      </w:pPr>
      <w:r>
        <w:rPr>
          <w:rFonts w:ascii="Times New Roman" w:hAnsi="Times New Roman" w:eastAsia="Times New Roman" w:cs="Times New Roman"/>
          <w:b w:val="0"/>
          <w:i w:val="0"/>
          <w:color w:val="000000"/>
          <w:sz w:val="22"/>
        </w:rPr>
        <w:t>16.2. За нарушение срока оплаты Участник уплачивает неустойку в размере, установленном частью 6 статьи 5 Закона № 214-ФЗ. При единовременной оплате просрочка более двух месяцев дает Застройщику право на односторонний отказ с соблюдением статьи 9 Закона № 214-ФЗ. Если согласовано внесение платежей в течение определенного периода, применяются предусмотренные законом основания систематического нарушения графика; отдельное решение о расторжении не заменяется автоматическим прекращением Договора.</w:t>
      </w:r>
    </w:p>
    <w:p w14:paraId="25641B7A">
      <w:pPr>
        <w:keepNext w:val="0"/>
        <w:widowControl/>
        <w:spacing w:after="60" w:line="245" w:lineRule="auto"/>
        <w:ind w:firstLine="340"/>
        <w:jc w:val="both"/>
      </w:pPr>
      <w:r>
        <w:rPr>
          <w:rFonts w:ascii="Times New Roman" w:hAnsi="Times New Roman" w:eastAsia="Times New Roman" w:cs="Times New Roman"/>
          <w:b w:val="0"/>
          <w:i w:val="0"/>
          <w:color w:val="000000"/>
          <w:sz w:val="22"/>
        </w:rPr>
        <w:t>16.3. Застройщик не отвечает за действия и решения банков, Росреестра, органов власти, ресурсоснабжающих и сетевых организаций, операторов связи, подрядчиков Участника и иных третьих лиц, если соответствующие последствия не вызваны виновным нарушением Застройщика и не входят в его императивную ответственность.</w:t>
      </w:r>
    </w:p>
    <w:p w14:paraId="3B68BCFE">
      <w:pPr>
        <w:keepNext w:val="0"/>
        <w:widowControl/>
        <w:spacing w:after="60" w:line="245" w:lineRule="auto"/>
        <w:ind w:firstLine="340"/>
        <w:jc w:val="both"/>
      </w:pPr>
      <w:r>
        <w:rPr>
          <w:rFonts w:ascii="Times New Roman" w:hAnsi="Times New Roman" w:eastAsia="Times New Roman" w:cs="Times New Roman"/>
          <w:b w:val="0"/>
          <w:i w:val="0"/>
          <w:color w:val="000000"/>
          <w:sz w:val="22"/>
        </w:rPr>
        <w:t>16.4. Участник возмещает документально подтвержденные расходы и вред, причиненные его самовольным вмешательством в конструкции и инженерные системы, недопуском для аварийных или гарантийных работ, нарушением правил эксплуатации или предоставлением недостоверных сведений, в пределах, допускаемых законом.</w:t>
      </w:r>
    </w:p>
    <w:p w14:paraId="004DBFF9">
      <w:pPr>
        <w:keepNext w:val="0"/>
        <w:widowControl/>
        <w:spacing w:after="60" w:line="245" w:lineRule="auto"/>
        <w:ind w:firstLine="340"/>
        <w:jc w:val="both"/>
      </w:pPr>
      <w:r>
        <w:rPr>
          <w:rFonts w:ascii="Times New Roman" w:hAnsi="Times New Roman" w:eastAsia="Times New Roman" w:cs="Times New Roman"/>
          <w:b w:val="0"/>
          <w:i w:val="0"/>
          <w:color w:val="000000"/>
          <w:sz w:val="22"/>
        </w:rPr>
        <w:t>16.5. Сторона освобождается от ответственности за неисполнение вследствие чрезвычайных и непредотвратимых при данных условиях обстоятельств, если докажет их наличие, влияние и принятие разумных мер. Отсутствие денежных средств, нарушение обязанностей контрагентами и обычные хозяйственные риски сами по себе не являются непреодолимой силой.</w:t>
      </w:r>
    </w:p>
    <w:p w14:paraId="1D2C1A67">
      <w:pPr>
        <w:keepNext w:val="0"/>
        <w:widowControl/>
        <w:spacing w:after="60" w:line="245" w:lineRule="auto"/>
        <w:ind w:firstLine="340"/>
        <w:jc w:val="both"/>
      </w:pPr>
      <w:r>
        <w:rPr>
          <w:rFonts w:ascii="Times New Roman" w:hAnsi="Times New Roman" w:eastAsia="Times New Roman" w:cs="Times New Roman"/>
          <w:b w:val="0"/>
          <w:i w:val="0"/>
          <w:color w:val="000000"/>
          <w:sz w:val="22"/>
        </w:rPr>
        <w:t>16.6. Сторона, ссылающаяся на непреодолимую силу, уведомляет другую Сторону в разумный срок и представляет доказательства наличия и влияния соответствующих обстоятельств. Освобождение от ответственности определяется законом. Наступление таких обстоятельств само по себе не изменяет предельный срок передачи Квартиры; изменение существенных условий оформляется в порядке раздела 17, если иной порядок прямо не установлен законом.</w:t>
      </w:r>
    </w:p>
    <w:p w14:paraId="64C12160">
      <w:pPr>
        <w:pStyle w:val="2"/>
        <w:keepNext/>
        <w:widowControl/>
        <w:spacing w:before="160" w:after="80" w:line="245" w:lineRule="auto"/>
        <w:ind w:firstLine="0"/>
        <w:jc w:val="left"/>
      </w:pPr>
      <w:r>
        <w:rPr>
          <w:rFonts w:ascii="Times New Roman" w:hAnsi="Times New Roman" w:eastAsia="Times New Roman" w:cs="Times New Roman"/>
          <w:b/>
          <w:i w:val="0"/>
          <w:color w:val="000000"/>
          <w:sz w:val="22"/>
        </w:rPr>
        <w:t>17. ИЗМЕНЕНИЕ И РАСТОРЖЕНИЕ ДОГОВОРА</w:t>
      </w:r>
    </w:p>
    <w:p w14:paraId="4A151CDC">
      <w:pPr>
        <w:keepNext w:val="0"/>
        <w:widowControl/>
        <w:spacing w:after="60" w:line="245" w:lineRule="auto"/>
        <w:ind w:firstLine="340"/>
        <w:jc w:val="both"/>
      </w:pPr>
      <w:r>
        <w:rPr>
          <w:rFonts w:ascii="Times New Roman" w:hAnsi="Times New Roman" w:eastAsia="Times New Roman" w:cs="Times New Roman"/>
          <w:b w:val="0"/>
          <w:i w:val="0"/>
          <w:color w:val="000000"/>
          <w:sz w:val="22"/>
        </w:rPr>
        <w:t>17.1. Изменение существенных условий Договора производится соглашением Сторон и подлежит государственной регистрации в случаях, установленных законом. Изменения, допустимые без соглашения по разделам 9–13, не являются односторонним изменением существенных условий.</w:t>
      </w:r>
    </w:p>
    <w:p w14:paraId="08047539">
      <w:pPr>
        <w:keepNext w:val="0"/>
        <w:widowControl/>
        <w:spacing w:after="60" w:line="245" w:lineRule="auto"/>
        <w:ind w:firstLine="340"/>
        <w:jc w:val="both"/>
      </w:pPr>
      <w:r>
        <w:rPr>
          <w:rFonts w:ascii="Times New Roman" w:hAnsi="Times New Roman" w:eastAsia="Times New Roman" w:cs="Times New Roman"/>
          <w:b w:val="0"/>
          <w:i w:val="0"/>
          <w:color w:val="000000"/>
          <w:sz w:val="22"/>
        </w:rPr>
        <w:t>17.2. Участник вправе отказаться от Договора или требовать его расторжения исключительно по основаниям и в порядке, предусмотренным Законом № 214-ФЗ и иными федеральными законами. При надлежащем исполнении Застройщиком обязательств Участник не вправе на немотивированный внесудебный отказ.</w:t>
      </w:r>
    </w:p>
    <w:p w14:paraId="4163E887">
      <w:pPr>
        <w:keepNext w:val="0"/>
        <w:widowControl/>
        <w:spacing w:after="60" w:line="245" w:lineRule="auto"/>
        <w:ind w:firstLine="340"/>
        <w:jc w:val="both"/>
      </w:pPr>
      <w:r>
        <w:rPr>
          <w:rFonts w:ascii="Times New Roman" w:hAnsi="Times New Roman" w:eastAsia="Times New Roman" w:cs="Times New Roman"/>
          <w:b w:val="0"/>
          <w:i w:val="0"/>
          <w:color w:val="000000"/>
          <w:sz w:val="22"/>
        </w:rPr>
        <w:t>17.3. Застройщик вправе отказаться от Договора при нарушении Участником оплаты только после направления предупреждения и соблюдения сроков и процедуры статьи 9 Закона № 214-ФЗ.</w:t>
      </w:r>
    </w:p>
    <w:p w14:paraId="5063536F">
      <w:pPr>
        <w:keepNext w:val="0"/>
        <w:widowControl/>
        <w:spacing w:after="60" w:line="245" w:lineRule="auto"/>
        <w:ind w:firstLine="340"/>
        <w:jc w:val="both"/>
      </w:pPr>
      <w:r>
        <w:rPr>
          <w:rFonts w:ascii="Times New Roman" w:hAnsi="Times New Roman" w:eastAsia="Times New Roman" w:cs="Times New Roman"/>
          <w:b w:val="0"/>
          <w:i w:val="0"/>
          <w:color w:val="000000"/>
          <w:sz w:val="22"/>
        </w:rPr>
        <w:t>17.4. При расторжении денежные средства со счета эскроу возвращаются Участнику Эскроу-агентом в установленном законом и договором счета эскроу порядке. Иные расчеты и проценты производятся по императивным нормам.</w:t>
      </w:r>
    </w:p>
    <w:p w14:paraId="2D7CF73E">
      <w:pPr>
        <w:keepNext w:val="0"/>
        <w:widowControl/>
        <w:spacing w:after="60" w:line="245" w:lineRule="auto"/>
        <w:ind w:firstLine="340"/>
        <w:jc w:val="both"/>
      </w:pPr>
      <w:r>
        <w:rPr>
          <w:rFonts w:ascii="Times New Roman" w:hAnsi="Times New Roman" w:eastAsia="Times New Roman" w:cs="Times New Roman"/>
          <w:b w:val="0"/>
          <w:i w:val="0"/>
          <w:color w:val="000000"/>
          <w:sz w:val="22"/>
        </w:rPr>
        <w:t>17.5. Недействительность отдельного положения не влечет недействительность Договора в целом. Недействительное условие заменяется применимой нормой, наиболее близкой к законной экономической цели Сторон.</w:t>
      </w:r>
    </w:p>
    <w:p w14:paraId="444626D6">
      <w:pPr>
        <w:pStyle w:val="2"/>
        <w:keepNext/>
        <w:widowControl/>
        <w:spacing w:before="160" w:after="80" w:line="245" w:lineRule="auto"/>
        <w:ind w:firstLine="0"/>
        <w:jc w:val="left"/>
      </w:pPr>
      <w:r>
        <w:rPr>
          <w:rFonts w:ascii="Times New Roman" w:hAnsi="Times New Roman" w:eastAsia="Times New Roman" w:cs="Times New Roman"/>
          <w:b/>
          <w:i w:val="0"/>
          <w:color w:val="000000"/>
          <w:sz w:val="22"/>
        </w:rPr>
        <w:t>18. УВЕДОМЛЕНИЯ И ЭЛЕКТРОННОЕ ВЗАИМОДЕЙСТВИЕ</w:t>
      </w:r>
    </w:p>
    <w:p w14:paraId="1A852DC5">
      <w:pPr>
        <w:keepNext w:val="0"/>
        <w:widowControl/>
        <w:spacing w:after="60" w:line="245" w:lineRule="auto"/>
        <w:ind w:firstLine="340"/>
        <w:jc w:val="both"/>
      </w:pPr>
      <w:r>
        <w:rPr>
          <w:rFonts w:ascii="Times New Roman" w:hAnsi="Times New Roman" w:eastAsia="Times New Roman" w:cs="Times New Roman"/>
          <w:b w:val="0"/>
          <w:i w:val="0"/>
          <w:color w:val="000000"/>
          <w:sz w:val="22"/>
        </w:rPr>
        <w:t>18.1. Юридически значимые сообщения направляются по адресам и реквизитам, указанным в Договоре. Если закон требует заказного письма с описью вложения, личного вручения или иной специальной формы, применяется такая форма.</w:t>
      </w:r>
    </w:p>
    <w:p w14:paraId="76619D68">
      <w:pPr>
        <w:keepNext w:val="0"/>
        <w:widowControl/>
        <w:spacing w:after="60" w:line="245" w:lineRule="auto"/>
        <w:ind w:firstLine="340"/>
        <w:jc w:val="both"/>
      </w:pPr>
      <w:r>
        <w:rPr>
          <w:rFonts w:ascii="Times New Roman" w:hAnsi="Times New Roman" w:eastAsia="Times New Roman" w:cs="Times New Roman"/>
          <w:b w:val="0"/>
          <w:i w:val="0"/>
          <w:color w:val="000000"/>
          <w:sz w:val="22"/>
        </w:rPr>
        <w:t>18.2. Стороны дополнительно признают доказательственное значение сообщений, документов и файлов, направленных с согласованных адресов электронной почты, номеров телефонов и аккаунтов в мессенджерах, если можно установить отправителя, адресата, содержание и дату. Электронная переписка не заменяет государственную регистрацию соглашения, когда она обязательна.</w:t>
      </w:r>
    </w:p>
    <w:p w14:paraId="3755A0F5">
      <w:pPr>
        <w:keepNext w:val="0"/>
        <w:widowControl/>
        <w:spacing w:after="60" w:line="245" w:lineRule="auto"/>
        <w:ind w:firstLine="340"/>
        <w:jc w:val="both"/>
      </w:pPr>
      <w:r>
        <w:rPr>
          <w:rFonts w:ascii="Times New Roman" w:hAnsi="Times New Roman" w:eastAsia="Times New Roman" w:cs="Times New Roman"/>
          <w:b w:val="0"/>
          <w:i w:val="0"/>
          <w:color w:val="000000"/>
          <w:sz w:val="22"/>
        </w:rPr>
        <w:t>18.3. Участник обязан контролировать почту и электронные каналы, обеспечивать актуальность контактов. Риск последствий неполучения корреспонденции по причине неуведомления об изменении адреса или контактов несет Участник в пределах статьи 165.1 Гражданского кодекса Российской Федерации.</w:t>
      </w:r>
    </w:p>
    <w:p w14:paraId="056B9DD0">
      <w:pPr>
        <w:keepNext w:val="0"/>
        <w:widowControl/>
        <w:spacing w:after="60" w:line="245" w:lineRule="auto"/>
        <w:ind w:firstLine="340"/>
        <w:jc w:val="both"/>
      </w:pPr>
      <w:r>
        <w:rPr>
          <w:rFonts w:ascii="Times New Roman" w:hAnsi="Times New Roman" w:eastAsia="Times New Roman" w:cs="Times New Roman"/>
          <w:b w:val="0"/>
          <w:i w:val="0"/>
          <w:color w:val="000000"/>
          <w:sz w:val="22"/>
        </w:rPr>
        <w:t>18.4. Договор и соглашения могут подписываться усиленными квалифицированными электронными подписями и представляться на государственную регистрацию в электронной форме.</w:t>
      </w:r>
    </w:p>
    <w:p w14:paraId="38B5EB43">
      <w:pPr>
        <w:pStyle w:val="2"/>
        <w:keepNext/>
        <w:widowControl/>
        <w:spacing w:before="160" w:after="80" w:line="245" w:lineRule="auto"/>
        <w:ind w:firstLine="0"/>
        <w:jc w:val="left"/>
      </w:pPr>
      <w:r>
        <w:rPr>
          <w:rFonts w:ascii="Times New Roman" w:hAnsi="Times New Roman" w:eastAsia="Times New Roman" w:cs="Times New Roman"/>
          <w:b/>
          <w:i w:val="0"/>
          <w:color w:val="000000"/>
          <w:sz w:val="22"/>
        </w:rPr>
        <w:t>19. ПЕРСОНАЛЬНЫЕ ДАННЫЕ</w:t>
      </w:r>
    </w:p>
    <w:p w14:paraId="4805C478">
      <w:pPr>
        <w:keepNext w:val="0"/>
        <w:widowControl/>
        <w:spacing w:after="60" w:line="245" w:lineRule="auto"/>
        <w:ind w:firstLine="340"/>
        <w:jc w:val="both"/>
      </w:pPr>
      <w:r>
        <w:rPr>
          <w:rFonts w:ascii="Times New Roman" w:hAnsi="Times New Roman" w:eastAsia="Times New Roman" w:cs="Times New Roman"/>
          <w:b w:val="0"/>
          <w:i w:val="0"/>
          <w:color w:val="000000"/>
          <w:sz w:val="22"/>
        </w:rPr>
        <w:t>19.1. Застройщик осуществляет обработку персональных данных Участника в объеме, необходимом для заключения, государственной регистрации и исполнения Договора, открытия и ведения счета эскроу, взаимодействия с банками и органом регистрации прав, передачи Квартиры, государственной регистрации права собственности, бухгалтерского и налогового учета, претензионной и гарантийной работы, на основаниях, предусмотренных Федеральным законом от 27.07.2006 № 152-ФЗ «О персональных данных», включая необходимость исполнения Договора и обязанностей, установленных законодательством.</w:t>
      </w:r>
    </w:p>
    <w:p w14:paraId="12DE29AF">
      <w:pPr>
        <w:keepNext w:val="0"/>
        <w:widowControl/>
        <w:spacing w:after="60" w:line="245" w:lineRule="auto"/>
        <w:ind w:firstLine="340"/>
        <w:jc w:val="both"/>
      </w:pPr>
      <w:r>
        <w:rPr>
          <w:rFonts w:ascii="Times New Roman" w:hAnsi="Times New Roman" w:eastAsia="Times New Roman" w:cs="Times New Roman"/>
          <w:b w:val="0"/>
          <w:i w:val="0"/>
          <w:color w:val="000000"/>
          <w:sz w:val="22"/>
        </w:rPr>
        <w:t>19.2. В пределах, необходимых для указанных целей, персональные данные могут предоставляться Эскроу-агенту, кредитующим банкам, Росреестру, ППК «Роскадастр», МФЦ, операторам электронной регистрации, нотариусам, кадастровым инженерам, подрядчикам, управляющей, ресурсоснабжающим и специализированным организациям, а также иным лицам, участие которых объективно необходимо для исполнения Договора или требований закона, с соблюдением принципов достаточности, целевого характера и безопасности обработки.</w:t>
      </w:r>
    </w:p>
    <w:p w14:paraId="4CE9DD72">
      <w:pPr>
        <w:keepNext w:val="0"/>
        <w:widowControl/>
        <w:spacing w:after="60" w:line="245" w:lineRule="auto"/>
        <w:ind w:firstLine="340"/>
        <w:jc w:val="both"/>
      </w:pPr>
      <w:r>
        <w:rPr>
          <w:rFonts w:ascii="Times New Roman" w:hAnsi="Times New Roman" w:eastAsia="Times New Roman" w:cs="Times New Roman"/>
          <w:b w:val="0"/>
          <w:i w:val="0"/>
          <w:color w:val="000000"/>
          <w:sz w:val="22"/>
        </w:rPr>
        <w:t>19.3. Если для отдельной цели обработка персональных данных не может осуществляться на основании закона или Договора и требует согласия Участника, такое согласие оформляется отдельным от Договора документом. Отказ от необязательной обработки не влияет на действительность Договора; непредоставление данных, без которых исполнение Договора или обязательного требования закона невозможно, влечет последствия, обусловленные объективной невозможностью совершить соответствующее действие.</w:t>
      </w:r>
    </w:p>
    <w:p w14:paraId="09D24BDB">
      <w:pPr>
        <w:pStyle w:val="2"/>
        <w:keepNext/>
        <w:widowControl/>
        <w:spacing w:before="160" w:after="80" w:line="245" w:lineRule="auto"/>
        <w:ind w:firstLine="0"/>
        <w:jc w:val="left"/>
      </w:pPr>
      <w:r>
        <w:rPr>
          <w:rFonts w:ascii="Times New Roman" w:hAnsi="Times New Roman" w:eastAsia="Times New Roman" w:cs="Times New Roman"/>
          <w:b/>
          <w:i w:val="0"/>
          <w:color w:val="000000"/>
          <w:sz w:val="22"/>
        </w:rPr>
        <w:t>20. ЗАКЛЮЧИТЕЛЬНЫЕ ПОЛОЖЕНИЯ</w:t>
      </w:r>
    </w:p>
    <w:p w14:paraId="3DC0112A">
      <w:pPr>
        <w:keepNext w:val="0"/>
        <w:widowControl/>
        <w:spacing w:after="60" w:line="245" w:lineRule="auto"/>
        <w:ind w:firstLine="340"/>
        <w:jc w:val="both"/>
      </w:pPr>
      <w:r>
        <w:rPr>
          <w:rFonts w:ascii="Times New Roman" w:hAnsi="Times New Roman" w:eastAsia="Times New Roman" w:cs="Times New Roman"/>
          <w:b w:val="0"/>
          <w:i w:val="0"/>
          <w:color w:val="000000"/>
          <w:sz w:val="22"/>
        </w:rPr>
        <w:t>20.1. Договор считается заключенным с момента государственной регистрации. До регистрации денежные средства в счет Цены Договора не вносятся, кроме действий, прямо допускаемых законодательством.</w:t>
      </w:r>
    </w:p>
    <w:p w14:paraId="34532CCC">
      <w:pPr>
        <w:keepNext w:val="0"/>
        <w:widowControl/>
        <w:spacing w:after="60" w:line="245" w:lineRule="auto"/>
        <w:ind w:firstLine="340"/>
        <w:jc w:val="both"/>
      </w:pPr>
      <w:r>
        <w:rPr>
          <w:rFonts w:ascii="Times New Roman" w:hAnsi="Times New Roman" w:eastAsia="Times New Roman" w:cs="Times New Roman"/>
          <w:b w:val="0"/>
          <w:i w:val="0"/>
          <w:color w:val="000000"/>
          <w:sz w:val="22"/>
        </w:rPr>
        <w:t>20.2. Договор содержит все согласованные условия. Предшествующая переписка и переговоры применяются только для толкования, если не противоречат подписанному тексту. Договор бронирования, при его наличии, является самостоятельным договором и не изменяет Цену Договора, кроме прямо согласованной скидки.</w:t>
      </w:r>
    </w:p>
    <w:p w14:paraId="50D746ED">
      <w:pPr>
        <w:keepNext w:val="0"/>
        <w:widowControl/>
        <w:spacing w:after="60" w:line="245" w:lineRule="auto"/>
        <w:ind w:firstLine="340"/>
        <w:jc w:val="both"/>
      </w:pPr>
      <w:r>
        <w:rPr>
          <w:rFonts w:ascii="Times New Roman" w:hAnsi="Times New Roman" w:eastAsia="Times New Roman" w:cs="Times New Roman"/>
          <w:b w:val="0"/>
          <w:i w:val="0"/>
          <w:color w:val="000000"/>
          <w:sz w:val="22"/>
        </w:rPr>
        <w:t>20.3. Стороны стремятся урегулировать разногласия путем переговоров и обмена претензиями. Споры рассматриваются судом по правилам подсудности, установленным законодательством. Обязательный досудебный порядок применяется только в случаях, предусмотренных законом. Договор не ограничивает право гражданина на выбор территориальной подсудности, предоставленное законом.</w:t>
      </w:r>
    </w:p>
    <w:p w14:paraId="4F1F079C">
      <w:pPr>
        <w:keepNext w:val="0"/>
        <w:widowControl/>
        <w:spacing w:after="60" w:line="245" w:lineRule="auto"/>
        <w:ind w:firstLine="340"/>
        <w:jc w:val="both"/>
      </w:pPr>
      <w:r>
        <w:rPr>
          <w:rFonts w:ascii="Times New Roman" w:hAnsi="Times New Roman" w:eastAsia="Times New Roman" w:cs="Times New Roman"/>
          <w:b w:val="0"/>
          <w:i w:val="0"/>
          <w:color w:val="000000"/>
          <w:sz w:val="22"/>
        </w:rPr>
        <w:t>20.4. Участник подтверждает, что до подписания ему понятны условия о различных показателях площади и их отражении в ЕГРН, перерасчете Цены, расчетах через счет эскроу, сроках передачи, степени готовности, обязательных инженерных системах, допустимых проектных изменениях, приемке и гарантии; сведения об аренде и ипотеке участка, парковках, ограничениях территории, внешнем шуме и правилах использования Летних помещений. Для двухуровневой Квартиры отдельно согласованы характеристики обоих уровней. Подтверждение ознакомления не означает отказа от прав, которые не могут быть ограничены Договором.</w:t>
      </w:r>
    </w:p>
    <w:p w14:paraId="2C8A8756">
      <w:pPr>
        <w:keepNext w:val="0"/>
        <w:widowControl/>
        <w:spacing w:after="60" w:line="245" w:lineRule="auto"/>
        <w:ind w:firstLine="340"/>
        <w:jc w:val="both"/>
      </w:pPr>
      <w:r>
        <w:rPr>
          <w:rFonts w:ascii="Times New Roman" w:hAnsi="Times New Roman" w:eastAsia="Times New Roman" w:cs="Times New Roman"/>
          <w:b w:val="0"/>
          <w:i w:val="0"/>
          <w:color w:val="000000"/>
          <w:sz w:val="22"/>
        </w:rPr>
        <w:t>20.5. Договор составлен в форме электронного документа. Приложения подписываются Сторонами и имеют равную юридическую силу с основным текстом.</w:t>
      </w:r>
    </w:p>
    <w:p w14:paraId="72A9E387">
      <w:pPr>
        <w:pStyle w:val="2"/>
        <w:keepNext/>
        <w:widowControl/>
        <w:spacing w:before="160" w:after="80" w:line="245" w:lineRule="auto"/>
        <w:ind w:firstLine="0"/>
        <w:jc w:val="left"/>
      </w:pPr>
      <w:r>
        <w:rPr>
          <w:rFonts w:ascii="Times New Roman" w:hAnsi="Times New Roman" w:eastAsia="Times New Roman" w:cs="Times New Roman"/>
          <w:b/>
          <w:i w:val="0"/>
          <w:color w:val="000000"/>
          <w:sz w:val="22"/>
        </w:rPr>
        <w:t>21. РЕКВИЗИТЫ И ПОДПИСИ СТОРОН</w:t>
      </w:r>
    </w:p>
    <w:tbl>
      <w:tblPr>
        <w:tblStyle w:val="12"/>
        <w:tblW w:w="0" w:type="auto"/>
        <w:jc w:val="center"/>
        <w:tblBorders>
          <w:top w:val="none" w:color="808080" w:sz="4" w:space="0"/>
          <w:left w:val="none" w:color="808080" w:sz="4" w:space="0"/>
          <w:bottom w:val="none" w:color="808080" w:sz="4" w:space="0"/>
          <w:right w:val="none" w:color="808080" w:sz="4" w:space="0"/>
          <w:insideH w:val="none" w:color="808080" w:sz="4" w:space="0"/>
          <w:insideV w:val="none" w:color="808080" w:sz="4" w:space="0"/>
        </w:tblBorders>
        <w:shd w:val="clear" w:color="auto" w:fill="auto"/>
        <w:tblLayout w:type="fixed"/>
        <w:tblCellMar>
          <w:top w:w="40" w:type="dxa"/>
          <w:left w:w="90" w:type="dxa"/>
          <w:bottom w:w="40" w:type="dxa"/>
          <w:right w:w="90" w:type="dxa"/>
        </w:tblCellMar>
      </w:tblPr>
      <w:tblGrid>
        <w:gridCol w:w="5046"/>
        <w:gridCol w:w="4876"/>
      </w:tblGrid>
      <w:tr w14:paraId="4EC805C6">
        <w:tblPrEx>
          <w:tblBorders>
            <w:top w:val="none" w:color="808080" w:sz="4" w:space="0"/>
            <w:left w:val="none" w:color="808080" w:sz="4" w:space="0"/>
            <w:bottom w:val="none" w:color="808080" w:sz="4" w:space="0"/>
            <w:right w:val="none" w:color="808080" w:sz="4" w:space="0"/>
            <w:insideH w:val="none" w:color="808080" w:sz="4" w:space="0"/>
            <w:insideV w:val="none" w:color="808080" w:sz="4" w:space="0"/>
          </w:tblBorders>
          <w:tblCellMar>
            <w:top w:w="40" w:type="dxa"/>
            <w:left w:w="90" w:type="dxa"/>
            <w:bottom w:w="40" w:type="dxa"/>
            <w:right w:w="90" w:type="dxa"/>
          </w:tblCellMar>
        </w:tblPrEx>
        <w:trPr>
          <w:cantSplit/>
          <w:tblHeader/>
          <w:jc w:val="center"/>
        </w:trPr>
        <w:tc>
          <w:tcPr>
            <w:tcW w:w="5046" w:type="dxa"/>
            <w:shd w:val="clear" w:color="auto" w:fill="auto"/>
            <w:vAlign w:val="center"/>
          </w:tcPr>
          <w:p w14:paraId="0567EF80">
            <w:pPr>
              <w:spacing w:after="20" w:line="240" w:lineRule="auto"/>
              <w:ind w:firstLine="0"/>
              <w:jc w:val="left"/>
            </w:pPr>
            <w:r>
              <w:rPr>
                <w:rFonts w:ascii="Times New Roman" w:hAnsi="Times New Roman" w:eastAsia="Times New Roman" w:cs="Times New Roman"/>
                <w:b/>
                <w:i w:val="0"/>
                <w:color w:val="000000"/>
                <w:sz w:val="20"/>
              </w:rPr>
              <w:t>ЗАСТРОЙЩИК</w:t>
            </w:r>
          </w:p>
        </w:tc>
        <w:tc>
          <w:tcPr>
            <w:tcW w:w="4876" w:type="dxa"/>
            <w:shd w:val="clear" w:color="auto" w:fill="auto"/>
            <w:vAlign w:val="center"/>
          </w:tcPr>
          <w:p w14:paraId="185F248C">
            <w:pPr>
              <w:spacing w:after="20" w:line="240" w:lineRule="auto"/>
              <w:ind w:firstLine="0"/>
              <w:jc w:val="left"/>
            </w:pPr>
            <w:r>
              <w:rPr>
                <w:rFonts w:ascii="Times New Roman" w:hAnsi="Times New Roman" w:eastAsia="Times New Roman" w:cs="Times New Roman"/>
                <w:b/>
                <w:i w:val="0"/>
                <w:color w:val="000000"/>
                <w:sz w:val="20"/>
              </w:rPr>
              <w:t>УЧАСТНИК</w:t>
            </w:r>
          </w:p>
        </w:tc>
      </w:tr>
      <w:tr w14:paraId="1F70EF29">
        <w:tblPrEx>
          <w:tblBorders>
            <w:top w:val="none" w:color="808080" w:sz="4" w:space="0"/>
            <w:left w:val="none" w:color="808080" w:sz="4" w:space="0"/>
            <w:bottom w:val="none" w:color="808080" w:sz="4" w:space="0"/>
            <w:right w:val="none" w:color="808080" w:sz="4" w:space="0"/>
            <w:insideH w:val="none" w:color="808080" w:sz="4" w:space="0"/>
            <w:insideV w:val="none" w:color="808080" w:sz="4" w:space="0"/>
          </w:tblBorders>
          <w:shd w:val="clear" w:color="auto" w:fill="auto"/>
          <w:tblCellMar>
            <w:top w:w="40" w:type="dxa"/>
            <w:left w:w="90" w:type="dxa"/>
            <w:bottom w:w="40" w:type="dxa"/>
            <w:right w:w="90" w:type="dxa"/>
          </w:tblCellMar>
        </w:tblPrEx>
        <w:trPr>
          <w:cantSplit/>
          <w:jc w:val="center"/>
        </w:trPr>
        <w:tc>
          <w:tcPr>
            <w:tcW w:w="5046" w:type="dxa"/>
            <w:shd w:val="clear" w:color="auto" w:fill="auto"/>
            <w:vAlign w:val="center"/>
          </w:tcPr>
          <w:p w14:paraId="5749C41A">
            <w:pPr>
              <w:spacing w:after="20" w:line="240" w:lineRule="auto"/>
              <w:ind w:firstLine="0"/>
              <w:jc w:val="left"/>
            </w:pPr>
            <w:r>
              <w:t>Общество с ограниченной ответственностью «Специализированный застройщик «Альфа-Строй»</w:t>
            </w:r>
            <w:r>
              <w:br w:type="textWrapping"/>
            </w:r>
            <w:r>
              <w:t>ИНН 3900020781, КПП 390001001</w:t>
            </w:r>
            <w:r>
              <w:br w:type="textWrapping"/>
            </w:r>
            <w:r>
              <w:t>ОГРН 1243900000695</w:t>
            </w:r>
            <w:r>
              <w:br w:type="textWrapping"/>
            </w:r>
            <w:r>
              <w:t>Адрес: 238326, Калининградская область, м.о. Зеленоградский, г. Зеленоградск, ул. Московская, д. 62, кв. XVIII из А</w:t>
            </w:r>
            <w:r>
              <w:br w:type="textWrapping"/>
            </w:r>
            <w:r>
              <w:t>Банк: Калининградское отделение № 8626 ПАО Сбербанк</w:t>
            </w:r>
            <w:r>
              <w:br w:type="textWrapping"/>
            </w:r>
            <w:r>
              <w:t>р/с 40702810920710000390</w:t>
            </w:r>
            <w:r>
              <w:br w:type="textWrapping"/>
            </w:r>
            <w:r>
              <w:t>к/с 30101810100000000634</w:t>
            </w:r>
            <w:r>
              <w:br w:type="textWrapping"/>
            </w:r>
            <w:r>
              <w:t>БИК 042748634</w:t>
            </w:r>
            <w:r>
              <w:br w:type="textWrapping"/>
            </w:r>
            <w:r>
              <w:t>E-mail: info@szalfastroy39.ru</w:t>
            </w:r>
            <w:r>
              <w:br w:type="textWrapping"/>
            </w:r>
            <w:r>
              <w:t>Тел.: +7 (911) 499-94-24</w:t>
            </w:r>
            <w:r>
              <w:br w:type="textWrapping"/>
            </w:r>
            <w:r>
              <w:br w:type="textWrapping"/>
            </w:r>
            <w:r>
              <w:t>Генеральный директор</w:t>
            </w:r>
            <w:r>
              <w:br w:type="textWrapping"/>
            </w:r>
            <w:r>
              <w:t>______________ / Терехова М. М. /</w:t>
            </w:r>
          </w:p>
        </w:tc>
        <w:tc>
          <w:tcPr>
            <w:tcW w:w="4876" w:type="dxa"/>
            <w:shd w:val="clear" w:color="auto" w:fill="auto"/>
            <w:vAlign w:val="center"/>
          </w:tcPr>
          <w:p w14:paraId="677E1B60">
            <w:pPr>
              <w:spacing w:after="20" w:line="240" w:lineRule="auto"/>
              <w:ind w:firstLine="0"/>
              <w:jc w:val="left"/>
            </w:pPr>
            <w:r>
              <w:rPr>
                <w:rFonts w:ascii="Times New Roman" w:hAnsi="Times New Roman" w:eastAsia="Times New Roman" w:cs="Times New Roman"/>
                <w:b w:val="0"/>
                <w:i w:val="0"/>
                <w:color w:val="000000"/>
                <w:sz w:val="20"/>
                <w:highlight w:val="yellow"/>
              </w:rPr>
              <w:t>[ЗАПОЛНИТЬ: Ф. И. О. полностью]</w:t>
            </w:r>
            <w:r>
              <w:rPr>
                <w:rFonts w:ascii="Times New Roman" w:hAnsi="Times New Roman" w:eastAsia="Times New Roman" w:cs="Times New Roman"/>
                <w:b w:val="0"/>
                <w:i w:val="0"/>
                <w:color w:val="000000"/>
                <w:sz w:val="20"/>
              </w:rPr>
              <w:br w:type="textWrapping"/>
            </w:r>
            <w:r>
              <w:rPr>
                <w:rFonts w:ascii="Times New Roman" w:hAnsi="Times New Roman" w:eastAsia="Times New Roman" w:cs="Times New Roman"/>
                <w:b w:val="0"/>
                <w:i w:val="0"/>
                <w:color w:val="000000"/>
                <w:sz w:val="20"/>
              </w:rPr>
              <w:t xml:space="preserve">Дата и место рождения: </w:t>
            </w:r>
            <w:r>
              <w:rPr>
                <w:rFonts w:ascii="Times New Roman" w:hAnsi="Times New Roman" w:eastAsia="Times New Roman" w:cs="Times New Roman"/>
                <w:b w:val="0"/>
                <w:i w:val="0"/>
                <w:color w:val="000000"/>
                <w:sz w:val="20"/>
                <w:highlight w:val="yellow"/>
              </w:rPr>
              <w:t>[ЗАПОЛНИТЬ]</w:t>
            </w:r>
            <w:r>
              <w:rPr>
                <w:rFonts w:ascii="Times New Roman" w:hAnsi="Times New Roman" w:eastAsia="Times New Roman" w:cs="Times New Roman"/>
                <w:b w:val="0"/>
                <w:i w:val="0"/>
                <w:color w:val="000000"/>
                <w:sz w:val="20"/>
              </w:rPr>
              <w:br w:type="textWrapping"/>
            </w:r>
            <w:r>
              <w:rPr>
                <w:rFonts w:ascii="Times New Roman" w:hAnsi="Times New Roman" w:eastAsia="Times New Roman" w:cs="Times New Roman"/>
                <w:b w:val="0"/>
                <w:i w:val="0"/>
                <w:color w:val="000000"/>
                <w:sz w:val="20"/>
              </w:rPr>
              <w:t xml:space="preserve">Паспорт: </w:t>
            </w:r>
            <w:r>
              <w:rPr>
                <w:rFonts w:ascii="Times New Roman" w:hAnsi="Times New Roman" w:eastAsia="Times New Roman" w:cs="Times New Roman"/>
                <w:b w:val="0"/>
                <w:i w:val="0"/>
                <w:color w:val="000000"/>
                <w:sz w:val="20"/>
                <w:highlight w:val="yellow"/>
              </w:rPr>
              <w:t>[ЗАПОЛНИТЬ: серия, номер, кем и когда выдан, код подразделения]</w:t>
            </w:r>
            <w:r>
              <w:rPr>
                <w:rFonts w:ascii="Times New Roman" w:hAnsi="Times New Roman" w:eastAsia="Times New Roman" w:cs="Times New Roman"/>
                <w:b w:val="0"/>
                <w:i w:val="0"/>
                <w:color w:val="000000"/>
                <w:sz w:val="20"/>
              </w:rPr>
              <w:br w:type="textWrapping"/>
            </w:r>
            <w:r>
              <w:rPr>
                <w:rFonts w:ascii="Times New Roman" w:hAnsi="Times New Roman" w:eastAsia="Times New Roman" w:cs="Times New Roman"/>
                <w:b w:val="0"/>
                <w:i w:val="0"/>
                <w:color w:val="000000"/>
                <w:sz w:val="20"/>
              </w:rPr>
              <w:t xml:space="preserve">Адрес регистрации: </w:t>
            </w:r>
            <w:r>
              <w:rPr>
                <w:rFonts w:ascii="Times New Roman" w:hAnsi="Times New Roman" w:eastAsia="Times New Roman" w:cs="Times New Roman"/>
                <w:b w:val="0"/>
                <w:i w:val="0"/>
                <w:color w:val="000000"/>
                <w:sz w:val="20"/>
                <w:highlight w:val="yellow"/>
              </w:rPr>
              <w:t>[ЗАПОЛНИТЬ]</w:t>
            </w:r>
            <w:r>
              <w:rPr>
                <w:rFonts w:ascii="Times New Roman" w:hAnsi="Times New Roman" w:eastAsia="Times New Roman" w:cs="Times New Roman"/>
                <w:b w:val="0"/>
                <w:i w:val="0"/>
                <w:color w:val="000000"/>
                <w:sz w:val="20"/>
              </w:rPr>
              <w:br w:type="textWrapping"/>
            </w:r>
            <w:r>
              <w:rPr>
                <w:rFonts w:ascii="Times New Roman" w:hAnsi="Times New Roman" w:eastAsia="Times New Roman" w:cs="Times New Roman"/>
                <w:b w:val="0"/>
                <w:i w:val="0"/>
                <w:color w:val="000000"/>
                <w:sz w:val="20"/>
              </w:rPr>
              <w:t xml:space="preserve">Почтовый адрес: </w:t>
            </w:r>
            <w:r>
              <w:rPr>
                <w:rFonts w:ascii="Times New Roman" w:hAnsi="Times New Roman" w:eastAsia="Times New Roman" w:cs="Times New Roman"/>
                <w:b w:val="0"/>
                <w:i w:val="0"/>
                <w:color w:val="000000"/>
                <w:sz w:val="20"/>
                <w:highlight w:val="yellow"/>
              </w:rPr>
              <w:t>[ЗАПОЛНИТЬ]</w:t>
            </w:r>
            <w:r>
              <w:rPr>
                <w:rFonts w:ascii="Times New Roman" w:hAnsi="Times New Roman" w:eastAsia="Times New Roman" w:cs="Times New Roman"/>
                <w:b w:val="0"/>
                <w:i w:val="0"/>
                <w:color w:val="000000"/>
                <w:sz w:val="20"/>
              </w:rPr>
              <w:br w:type="textWrapping"/>
            </w:r>
            <w:r>
              <w:rPr>
                <w:rFonts w:ascii="Times New Roman" w:hAnsi="Times New Roman" w:eastAsia="Times New Roman" w:cs="Times New Roman"/>
                <w:b w:val="0"/>
                <w:i w:val="0"/>
                <w:color w:val="000000"/>
                <w:sz w:val="20"/>
              </w:rPr>
              <w:t xml:space="preserve">СНИЛС: </w:t>
            </w:r>
            <w:r>
              <w:rPr>
                <w:rFonts w:ascii="Times New Roman" w:hAnsi="Times New Roman" w:eastAsia="Times New Roman" w:cs="Times New Roman"/>
                <w:b w:val="0"/>
                <w:i w:val="0"/>
                <w:color w:val="000000"/>
                <w:sz w:val="20"/>
                <w:highlight w:val="yellow"/>
              </w:rPr>
              <w:t>[ЗАПОЛНИТЬ]</w:t>
            </w:r>
            <w:r>
              <w:rPr>
                <w:rFonts w:ascii="Times New Roman" w:hAnsi="Times New Roman" w:eastAsia="Times New Roman" w:cs="Times New Roman"/>
                <w:b w:val="0"/>
                <w:i w:val="0"/>
                <w:color w:val="000000"/>
                <w:sz w:val="20"/>
              </w:rPr>
              <w:br w:type="textWrapping"/>
            </w:r>
            <w:r>
              <w:rPr>
                <w:rFonts w:ascii="Times New Roman" w:hAnsi="Times New Roman" w:eastAsia="Times New Roman" w:cs="Times New Roman"/>
                <w:b w:val="0"/>
                <w:i w:val="0"/>
                <w:color w:val="000000"/>
                <w:sz w:val="20"/>
              </w:rPr>
              <w:t xml:space="preserve">ИНН: </w:t>
            </w:r>
            <w:r>
              <w:rPr>
                <w:rFonts w:ascii="Times New Roman" w:hAnsi="Times New Roman" w:eastAsia="Times New Roman" w:cs="Times New Roman"/>
                <w:b w:val="0"/>
                <w:i w:val="0"/>
                <w:color w:val="000000"/>
                <w:sz w:val="20"/>
                <w:highlight w:val="yellow"/>
              </w:rPr>
              <w:t>[ЗАПОЛНИТЬ при наличии]</w:t>
            </w:r>
            <w:r>
              <w:rPr>
                <w:rFonts w:ascii="Times New Roman" w:hAnsi="Times New Roman" w:eastAsia="Times New Roman" w:cs="Times New Roman"/>
                <w:b w:val="0"/>
                <w:i w:val="0"/>
                <w:color w:val="000000"/>
                <w:sz w:val="20"/>
              </w:rPr>
              <w:br w:type="textWrapping"/>
            </w:r>
            <w:r>
              <w:rPr>
                <w:rFonts w:ascii="Times New Roman" w:hAnsi="Times New Roman" w:eastAsia="Times New Roman" w:cs="Times New Roman"/>
                <w:b w:val="0"/>
                <w:i w:val="0"/>
                <w:color w:val="000000"/>
                <w:sz w:val="20"/>
              </w:rPr>
              <w:t xml:space="preserve">Тел.: </w:t>
            </w:r>
            <w:r>
              <w:rPr>
                <w:rFonts w:ascii="Times New Roman" w:hAnsi="Times New Roman" w:eastAsia="Times New Roman" w:cs="Times New Roman"/>
                <w:b w:val="0"/>
                <w:i w:val="0"/>
                <w:color w:val="000000"/>
                <w:sz w:val="20"/>
                <w:highlight w:val="yellow"/>
              </w:rPr>
              <w:t>[ЗАПОЛНИТЬ]</w:t>
            </w:r>
            <w:r>
              <w:rPr>
                <w:rFonts w:ascii="Times New Roman" w:hAnsi="Times New Roman" w:eastAsia="Times New Roman" w:cs="Times New Roman"/>
                <w:b w:val="0"/>
                <w:i w:val="0"/>
                <w:color w:val="000000"/>
                <w:sz w:val="20"/>
              </w:rPr>
              <w:br w:type="textWrapping"/>
            </w:r>
            <w:r>
              <w:rPr>
                <w:rFonts w:ascii="Times New Roman" w:hAnsi="Times New Roman" w:eastAsia="Times New Roman" w:cs="Times New Roman"/>
                <w:b w:val="0"/>
                <w:i w:val="0"/>
                <w:color w:val="000000"/>
                <w:sz w:val="20"/>
              </w:rPr>
              <w:t xml:space="preserve">E-mail: </w:t>
            </w:r>
            <w:r>
              <w:rPr>
                <w:rFonts w:ascii="Times New Roman" w:hAnsi="Times New Roman" w:eastAsia="Times New Roman" w:cs="Times New Roman"/>
                <w:b w:val="0"/>
                <w:i w:val="0"/>
                <w:color w:val="000000"/>
                <w:sz w:val="20"/>
                <w:highlight w:val="yellow"/>
              </w:rPr>
              <w:t>[ЗАПОЛНИТЬ]</w:t>
            </w:r>
            <w:r>
              <w:rPr>
                <w:rFonts w:ascii="Times New Roman" w:hAnsi="Times New Roman" w:eastAsia="Times New Roman" w:cs="Times New Roman"/>
                <w:b w:val="0"/>
                <w:i w:val="0"/>
                <w:color w:val="000000"/>
                <w:sz w:val="20"/>
              </w:rPr>
              <w:br w:type="textWrapping"/>
            </w:r>
            <w:r>
              <w:rPr>
                <w:rFonts w:ascii="Times New Roman" w:hAnsi="Times New Roman" w:eastAsia="Times New Roman" w:cs="Times New Roman"/>
                <w:b w:val="0"/>
                <w:i w:val="0"/>
                <w:color w:val="000000"/>
                <w:sz w:val="20"/>
              </w:rPr>
              <w:br w:type="textWrapping"/>
            </w:r>
            <w:r>
              <w:rPr>
                <w:rFonts w:ascii="Times New Roman" w:hAnsi="Times New Roman" w:eastAsia="Times New Roman" w:cs="Times New Roman"/>
                <w:b w:val="0"/>
                <w:i w:val="0"/>
                <w:color w:val="000000"/>
                <w:sz w:val="20"/>
              </w:rPr>
              <w:t xml:space="preserve">______________ / </w:t>
            </w:r>
            <w:r>
              <w:rPr>
                <w:rFonts w:ascii="Times New Roman" w:hAnsi="Times New Roman" w:eastAsia="Times New Roman" w:cs="Times New Roman"/>
                <w:b w:val="0"/>
                <w:i w:val="0"/>
                <w:color w:val="000000"/>
                <w:sz w:val="20"/>
                <w:highlight w:val="yellow"/>
              </w:rPr>
              <w:t>[Ф. И. О.]</w:t>
            </w:r>
            <w:r>
              <w:rPr>
                <w:rFonts w:ascii="Times New Roman" w:hAnsi="Times New Roman" w:eastAsia="Times New Roman" w:cs="Times New Roman"/>
                <w:b w:val="0"/>
                <w:i w:val="0"/>
                <w:color w:val="000000"/>
                <w:sz w:val="20"/>
              </w:rPr>
              <w:t xml:space="preserve"> /</w:t>
            </w:r>
          </w:p>
        </w:tc>
      </w:tr>
    </w:tbl>
    <w:p w14:paraId="6B3D7503">
      <w:pPr>
        <w:spacing w:before="0" w:after="0" w:line="40" w:lineRule="exact"/>
      </w:pPr>
    </w:p>
    <w:p w14:paraId="22926A35">
      <w:pPr>
        <w:keepNext/>
        <w:pageBreakBefore/>
        <w:jc w:val="right"/>
      </w:pPr>
      <w:r>
        <w:rPr>
          <w:rFonts w:ascii="Times New Roman" w:hAnsi="Times New Roman" w:eastAsia="Times New Roman" w:cs="Times New Roman"/>
          <w:b w:val="0"/>
          <w:i w:val="0"/>
          <w:color w:val="000000"/>
          <w:sz w:val="21"/>
        </w:rPr>
        <w:t>Приложение № 1</w:t>
      </w:r>
      <w:r>
        <w:rPr>
          <w:rFonts w:ascii="Times New Roman" w:hAnsi="Times New Roman" w:eastAsia="Times New Roman" w:cs="Times New Roman"/>
          <w:b w:val="0"/>
          <w:i w:val="0"/>
          <w:color w:val="000000"/>
          <w:sz w:val="21"/>
        </w:rPr>
        <w:br w:type="textWrapping"/>
      </w:r>
      <w:r>
        <w:rPr>
          <w:rFonts w:ascii="Times New Roman" w:hAnsi="Times New Roman" w:eastAsia="Times New Roman" w:cs="Times New Roman"/>
          <w:b w:val="0"/>
          <w:i w:val="0"/>
          <w:color w:val="000000"/>
          <w:sz w:val="21"/>
        </w:rPr>
        <w:t xml:space="preserve">к Договору участия в долевом строительстве № </w:t>
      </w:r>
      <w:r>
        <w:rPr>
          <w:rFonts w:ascii="Times New Roman" w:hAnsi="Times New Roman" w:eastAsia="Times New Roman" w:cs="Times New Roman"/>
          <w:b w:val="0"/>
          <w:i w:val="0"/>
          <w:color w:val="000000"/>
          <w:sz w:val="21"/>
          <w:highlight w:val="yellow"/>
        </w:rPr>
        <w:t>[НОМЕР]</w:t>
      </w:r>
      <w:r>
        <w:rPr>
          <w:rFonts w:ascii="Times New Roman" w:hAnsi="Times New Roman" w:eastAsia="Times New Roman" w:cs="Times New Roman"/>
          <w:b w:val="0"/>
          <w:i w:val="0"/>
          <w:color w:val="000000"/>
          <w:sz w:val="21"/>
        </w:rPr>
        <w:br w:type="textWrapping"/>
      </w:r>
      <w:r>
        <w:rPr>
          <w:rFonts w:ascii="Times New Roman" w:hAnsi="Times New Roman" w:eastAsia="Times New Roman" w:cs="Times New Roman"/>
          <w:b w:val="0"/>
          <w:i w:val="0"/>
          <w:color w:val="000000"/>
          <w:sz w:val="21"/>
        </w:rPr>
        <w:t xml:space="preserve">от </w:t>
      </w:r>
      <w:r>
        <w:rPr>
          <w:rFonts w:ascii="Times New Roman" w:hAnsi="Times New Roman" w:eastAsia="Times New Roman" w:cs="Times New Roman"/>
          <w:b w:val="0"/>
          <w:i w:val="0"/>
          <w:color w:val="000000"/>
          <w:sz w:val="21"/>
          <w:highlight w:val="yellow"/>
        </w:rPr>
        <w:t>[ДАТА]</w:t>
      </w:r>
    </w:p>
    <w:p w14:paraId="6C202680">
      <w:pPr>
        <w:keepNext/>
        <w:widowControl/>
        <w:spacing w:after="140" w:line="245" w:lineRule="auto"/>
        <w:ind w:firstLine="0"/>
        <w:jc w:val="center"/>
      </w:pPr>
      <w:r>
        <w:rPr>
          <w:rFonts w:ascii="Times New Roman" w:hAnsi="Times New Roman" w:eastAsia="Times New Roman" w:cs="Times New Roman"/>
          <w:b/>
          <w:i w:val="0"/>
          <w:color w:val="000000"/>
          <w:sz w:val="26"/>
        </w:rPr>
        <w:t>ИНДИВИДУАЛЬНЫЕ УСЛОВИЯ И ХАРАКТЕРИСТИКИ ОБЪЕКТА</w:t>
      </w:r>
    </w:p>
    <w:p w14:paraId="749A7138">
      <w:pPr>
        <w:pStyle w:val="2"/>
        <w:keepNext/>
        <w:widowControl/>
        <w:spacing w:before="160" w:after="80" w:line="245" w:lineRule="auto"/>
        <w:ind w:firstLine="0"/>
        <w:jc w:val="left"/>
      </w:pPr>
      <w:r>
        <w:rPr>
          <w:rFonts w:ascii="Times New Roman" w:hAnsi="Times New Roman" w:eastAsia="Times New Roman" w:cs="Times New Roman"/>
          <w:b/>
          <w:i w:val="0"/>
          <w:color w:val="000000"/>
          <w:sz w:val="22"/>
        </w:rPr>
        <w:t>1. Квартира</w:t>
      </w:r>
    </w:p>
    <w:tbl>
      <w:tblPr>
        <w:tblStyle w:val="12"/>
        <w:tblW w:w="0" w:type="auto"/>
        <w:jc w:val="center"/>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40" w:type="dxa"/>
          <w:left w:w="90" w:type="dxa"/>
          <w:bottom w:w="40" w:type="dxa"/>
          <w:right w:w="90" w:type="dxa"/>
        </w:tblCellMar>
      </w:tblPr>
      <w:tblGrid>
        <w:gridCol w:w="3855"/>
        <w:gridCol w:w="6066"/>
      </w:tblGrid>
      <w:tr w14:paraId="05A3BF14">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tblHeader/>
          <w:jc w:val="center"/>
        </w:trPr>
        <w:tc>
          <w:tcPr>
            <w:tcW w:w="3855" w:type="dxa"/>
            <w:shd w:val="clear" w:color="auto" w:fill="EEEEEE"/>
            <w:vAlign w:val="center"/>
          </w:tcPr>
          <w:p w14:paraId="2E7D9E42">
            <w:pPr>
              <w:keepNext w:val="0"/>
              <w:spacing w:after="20" w:line="240" w:lineRule="auto"/>
              <w:ind w:firstLine="0"/>
              <w:jc w:val="left"/>
            </w:pPr>
            <w:r>
              <w:rPr>
                <w:rFonts w:ascii="Times New Roman" w:hAnsi="Times New Roman" w:eastAsia="Times New Roman" w:cs="Times New Roman"/>
                <w:b/>
                <w:i w:val="0"/>
                <w:color w:val="000000"/>
                <w:sz w:val="20"/>
              </w:rPr>
              <w:t>Показатель</w:t>
            </w:r>
          </w:p>
        </w:tc>
        <w:tc>
          <w:tcPr>
            <w:tcW w:w="6066" w:type="dxa"/>
            <w:shd w:val="clear" w:color="auto" w:fill="EEEEEE"/>
            <w:vAlign w:val="center"/>
          </w:tcPr>
          <w:p w14:paraId="2DBAE63B">
            <w:pPr>
              <w:keepNext w:val="0"/>
              <w:spacing w:after="20" w:line="240" w:lineRule="auto"/>
              <w:ind w:firstLine="0"/>
              <w:jc w:val="left"/>
            </w:pPr>
            <w:r>
              <w:rPr>
                <w:rFonts w:ascii="Times New Roman" w:hAnsi="Times New Roman" w:eastAsia="Times New Roman" w:cs="Times New Roman"/>
                <w:b/>
                <w:i w:val="0"/>
                <w:color w:val="000000"/>
                <w:sz w:val="20"/>
              </w:rPr>
              <w:t>Значение</w:t>
            </w:r>
          </w:p>
        </w:tc>
      </w:tr>
      <w:tr w14:paraId="6E3AEFD4">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40D37BEB">
            <w:pPr>
              <w:keepNext w:val="0"/>
              <w:spacing w:after="20" w:line="240" w:lineRule="auto"/>
              <w:ind w:firstLine="0"/>
              <w:jc w:val="left"/>
            </w:pPr>
            <w:r>
              <w:rPr>
                <w:rFonts w:ascii="Times New Roman" w:hAnsi="Times New Roman" w:eastAsia="Times New Roman" w:cs="Times New Roman"/>
                <w:b w:val="0"/>
                <w:i w:val="0"/>
                <w:color w:val="000000"/>
                <w:sz w:val="20"/>
              </w:rPr>
              <w:t>Наименование объекта</w:t>
            </w:r>
          </w:p>
        </w:tc>
        <w:tc>
          <w:tcPr>
            <w:tcW w:w="6066" w:type="dxa"/>
            <w:vAlign w:val="center"/>
          </w:tcPr>
          <w:p w14:paraId="0050054A">
            <w:pPr>
              <w:keepNext w:val="0"/>
              <w:spacing w:after="20" w:line="240" w:lineRule="auto"/>
              <w:ind w:firstLine="0"/>
              <w:jc w:val="left"/>
            </w:pPr>
            <w:r>
              <w:rPr>
                <w:rFonts w:ascii="Times New Roman" w:hAnsi="Times New Roman" w:eastAsia="Times New Roman" w:cs="Times New Roman"/>
                <w:b w:val="0"/>
                <w:i w:val="0"/>
                <w:color w:val="000000"/>
                <w:sz w:val="20"/>
              </w:rPr>
              <w:t>«Жилой комплекс «Онегин» по адресу: г. Калининград, ул. Барнаульская, участок с к.н. 39:15:132312:509»</w:t>
            </w:r>
          </w:p>
        </w:tc>
      </w:tr>
      <w:tr w14:paraId="3C52B2AD">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6D6E9567">
            <w:pPr>
              <w:keepNext w:val="0"/>
              <w:spacing w:after="20" w:line="240" w:lineRule="auto"/>
              <w:ind w:firstLine="0"/>
              <w:jc w:val="left"/>
            </w:pPr>
            <w:r>
              <w:rPr>
                <w:rFonts w:ascii="Times New Roman" w:hAnsi="Times New Roman" w:eastAsia="Times New Roman" w:cs="Times New Roman"/>
                <w:b w:val="0"/>
                <w:i w:val="0"/>
                <w:color w:val="000000"/>
                <w:sz w:val="20"/>
              </w:rPr>
              <w:t>Строительный адрес</w:t>
            </w:r>
          </w:p>
        </w:tc>
        <w:tc>
          <w:tcPr>
            <w:tcW w:w="6066" w:type="dxa"/>
            <w:vAlign w:val="center"/>
          </w:tcPr>
          <w:p w14:paraId="380D58C9">
            <w:pPr>
              <w:keepNext w:val="0"/>
              <w:spacing w:after="20" w:line="240" w:lineRule="auto"/>
              <w:ind w:firstLine="0"/>
              <w:jc w:val="left"/>
            </w:pPr>
            <w:r>
              <w:rPr>
                <w:rFonts w:ascii="Times New Roman" w:hAnsi="Times New Roman" w:eastAsia="Times New Roman" w:cs="Times New Roman"/>
                <w:b w:val="0"/>
                <w:i w:val="0"/>
                <w:color w:val="000000"/>
                <w:sz w:val="20"/>
              </w:rPr>
              <w:t>Калининградская область, г. Калининград, ул. Барнаульская, земельный участок с кадастровым номером 39:15:132312:509</w:t>
            </w:r>
          </w:p>
        </w:tc>
      </w:tr>
      <w:tr w14:paraId="47F61059">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05BA8B66">
            <w:pPr>
              <w:keepNext w:val="0"/>
              <w:spacing w:after="20" w:line="240" w:lineRule="auto"/>
              <w:ind w:firstLine="0"/>
              <w:jc w:val="left"/>
            </w:pPr>
            <w:r>
              <w:rPr>
                <w:rFonts w:ascii="Times New Roman" w:hAnsi="Times New Roman" w:eastAsia="Times New Roman" w:cs="Times New Roman"/>
                <w:b w:val="0"/>
                <w:i w:val="0"/>
                <w:color w:val="000000"/>
                <w:sz w:val="20"/>
              </w:rPr>
              <w:t>Идентификатор объекта в ЕИСЖС</w:t>
            </w:r>
          </w:p>
        </w:tc>
        <w:tc>
          <w:tcPr>
            <w:tcW w:w="6066" w:type="dxa"/>
            <w:vAlign w:val="center"/>
          </w:tcPr>
          <w:p w14:paraId="700CED3D">
            <w:pPr>
              <w:keepNext w:val="0"/>
              <w:spacing w:after="20" w:line="240" w:lineRule="auto"/>
              <w:ind w:firstLine="0"/>
              <w:jc w:val="left"/>
            </w:pPr>
            <w:r>
              <w:rPr>
                <w:rFonts w:ascii="Times New Roman" w:hAnsi="Times New Roman" w:eastAsia="Times New Roman" w:cs="Times New Roman"/>
                <w:b w:val="0"/>
                <w:i w:val="0"/>
                <w:color w:val="000000"/>
                <w:sz w:val="20"/>
              </w:rPr>
              <w:t>73827</w:t>
            </w:r>
          </w:p>
        </w:tc>
      </w:tr>
      <w:tr w14:paraId="04286EA4">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240CED99">
            <w:pPr>
              <w:keepNext w:val="0"/>
              <w:spacing w:after="20" w:line="240" w:lineRule="auto"/>
              <w:ind w:firstLine="0"/>
              <w:jc w:val="left"/>
            </w:pPr>
            <w:r>
              <w:rPr>
                <w:rFonts w:ascii="Times New Roman" w:hAnsi="Times New Roman" w:eastAsia="Times New Roman" w:cs="Times New Roman"/>
                <w:b w:val="0"/>
                <w:i w:val="0"/>
                <w:color w:val="000000"/>
                <w:sz w:val="20"/>
              </w:rPr>
              <w:t>Корпус / секция / подъезд</w:t>
            </w:r>
          </w:p>
        </w:tc>
        <w:tc>
          <w:tcPr>
            <w:tcW w:w="6066" w:type="dxa"/>
            <w:vAlign w:val="center"/>
          </w:tcPr>
          <w:p w14:paraId="661A1699">
            <w:pPr>
              <w:keepNext w:val="0"/>
              <w:spacing w:after="20" w:line="240" w:lineRule="auto"/>
              <w:ind w:firstLine="0"/>
              <w:jc w:val="left"/>
            </w:pPr>
            <w:r>
              <w:rPr>
                <w:rFonts w:ascii="Times New Roman" w:hAnsi="Times New Roman" w:eastAsia="Times New Roman" w:cs="Times New Roman"/>
                <w:b w:val="0"/>
                <w:i w:val="0"/>
                <w:color w:val="000000"/>
                <w:sz w:val="20"/>
                <w:highlight w:val="yellow"/>
              </w:rPr>
              <w:t>[ЗАПОЛНИТЬ: корпус № 1, 2 или 3; секция и подъезд по актуальному плану]</w:t>
            </w:r>
          </w:p>
        </w:tc>
      </w:tr>
      <w:tr w14:paraId="5845E0B5">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4BD3DE2B">
            <w:pPr>
              <w:keepNext w:val="0"/>
              <w:spacing w:after="20" w:line="240" w:lineRule="auto"/>
              <w:ind w:firstLine="0"/>
              <w:jc w:val="left"/>
            </w:pPr>
            <w:r>
              <w:rPr>
                <w:rFonts w:ascii="Times New Roman" w:hAnsi="Times New Roman" w:eastAsia="Times New Roman" w:cs="Times New Roman"/>
                <w:b w:val="0"/>
                <w:i w:val="0"/>
                <w:color w:val="000000"/>
                <w:sz w:val="20"/>
              </w:rPr>
              <w:t>Этаж / уровни Квартиры</w:t>
            </w:r>
          </w:p>
        </w:tc>
        <w:tc>
          <w:tcPr>
            <w:tcW w:w="6066" w:type="dxa"/>
            <w:vAlign w:val="center"/>
          </w:tcPr>
          <w:p w14:paraId="61B73E4E">
            <w:pPr>
              <w:keepNext w:val="0"/>
              <w:spacing w:after="20" w:line="240" w:lineRule="auto"/>
              <w:ind w:firstLine="0"/>
              <w:jc w:val="left"/>
            </w:pPr>
            <w:r>
              <w:rPr>
                <w:rFonts w:ascii="Times New Roman" w:hAnsi="Times New Roman" w:eastAsia="Times New Roman" w:cs="Times New Roman"/>
                <w:b w:val="0"/>
                <w:i w:val="0"/>
                <w:color w:val="000000"/>
                <w:sz w:val="20"/>
                <w:highlight w:val="yellow"/>
              </w:rPr>
              <w:t>[ЗАПОЛНИТЬ: этаж; для двухуровневой Квартиры — оба уровня и наличие антресоли]</w:t>
            </w:r>
          </w:p>
        </w:tc>
      </w:tr>
      <w:tr w14:paraId="7A90E8CA">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72BE9A1B">
            <w:pPr>
              <w:keepNext w:val="0"/>
              <w:spacing w:after="20" w:line="240" w:lineRule="auto"/>
              <w:ind w:firstLine="0"/>
              <w:jc w:val="left"/>
            </w:pPr>
            <w:r>
              <w:rPr>
                <w:rFonts w:ascii="Times New Roman" w:hAnsi="Times New Roman" w:eastAsia="Times New Roman" w:cs="Times New Roman"/>
                <w:b w:val="0"/>
                <w:i w:val="0"/>
                <w:color w:val="000000"/>
                <w:sz w:val="20"/>
              </w:rPr>
              <w:t>Условный (строительный) номер Квартиры</w:t>
            </w:r>
          </w:p>
        </w:tc>
        <w:tc>
          <w:tcPr>
            <w:tcW w:w="6066" w:type="dxa"/>
            <w:vAlign w:val="center"/>
          </w:tcPr>
          <w:p w14:paraId="5A2B7ECA">
            <w:pPr>
              <w:keepNext w:val="0"/>
              <w:spacing w:after="20" w:line="240" w:lineRule="auto"/>
              <w:ind w:firstLine="0"/>
              <w:jc w:val="left"/>
            </w:pPr>
            <w:r>
              <w:rPr>
                <w:rFonts w:ascii="Times New Roman" w:hAnsi="Times New Roman" w:eastAsia="Times New Roman" w:cs="Times New Roman"/>
                <w:b w:val="0"/>
                <w:i w:val="0"/>
                <w:color w:val="000000"/>
                <w:sz w:val="20"/>
                <w:highlight w:val="yellow"/>
              </w:rPr>
              <w:t>[ЗАПОЛНИТЬ ПО ПРОЕКТНОЙ ДЕКЛАРАЦИИ И ПЛАНУ]</w:t>
            </w:r>
          </w:p>
        </w:tc>
      </w:tr>
      <w:tr w14:paraId="00C71C16">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7FDEADF9">
            <w:pPr>
              <w:keepNext w:val="0"/>
              <w:spacing w:after="20" w:line="240" w:lineRule="auto"/>
              <w:ind w:firstLine="0"/>
              <w:jc w:val="left"/>
            </w:pPr>
            <w:r>
              <w:rPr>
                <w:rFonts w:ascii="Times New Roman" w:hAnsi="Times New Roman" w:eastAsia="Times New Roman" w:cs="Times New Roman"/>
                <w:b w:val="0"/>
                <w:i w:val="0"/>
                <w:color w:val="000000"/>
                <w:sz w:val="20"/>
              </w:rPr>
              <w:t>Назначение</w:t>
            </w:r>
          </w:p>
        </w:tc>
        <w:tc>
          <w:tcPr>
            <w:tcW w:w="6066" w:type="dxa"/>
            <w:vAlign w:val="center"/>
          </w:tcPr>
          <w:p w14:paraId="5D6F6FDE">
            <w:pPr>
              <w:keepNext w:val="0"/>
              <w:spacing w:after="20" w:line="240" w:lineRule="auto"/>
              <w:ind w:firstLine="0"/>
              <w:jc w:val="left"/>
            </w:pPr>
            <w:r>
              <w:rPr>
                <w:rFonts w:ascii="Times New Roman" w:hAnsi="Times New Roman" w:eastAsia="Times New Roman" w:cs="Times New Roman"/>
                <w:b w:val="0"/>
                <w:i w:val="0"/>
                <w:color w:val="000000"/>
                <w:sz w:val="20"/>
              </w:rPr>
              <w:t>жилое помещение — квартира</w:t>
            </w:r>
          </w:p>
        </w:tc>
      </w:tr>
      <w:tr w14:paraId="47DDF9EC">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708D3407">
            <w:pPr>
              <w:keepNext w:val="0"/>
              <w:spacing w:after="20" w:line="240" w:lineRule="auto"/>
              <w:ind w:firstLine="0"/>
              <w:jc w:val="left"/>
            </w:pPr>
            <w:r>
              <w:rPr>
                <w:rFonts w:ascii="Times New Roman" w:hAnsi="Times New Roman" w:eastAsia="Times New Roman" w:cs="Times New Roman"/>
                <w:b w:val="0"/>
                <w:i w:val="0"/>
                <w:color w:val="000000"/>
                <w:sz w:val="20"/>
              </w:rPr>
              <w:t>Количество комнат</w:t>
            </w:r>
          </w:p>
        </w:tc>
        <w:tc>
          <w:tcPr>
            <w:tcW w:w="6066" w:type="dxa"/>
            <w:vAlign w:val="center"/>
          </w:tcPr>
          <w:p w14:paraId="1596ADA3">
            <w:pPr>
              <w:keepNext w:val="0"/>
              <w:spacing w:after="20" w:line="240" w:lineRule="auto"/>
              <w:ind w:firstLine="0"/>
              <w:jc w:val="left"/>
            </w:pPr>
            <w:r>
              <w:rPr>
                <w:rFonts w:ascii="Times New Roman" w:hAnsi="Times New Roman" w:eastAsia="Times New Roman" w:cs="Times New Roman"/>
                <w:b w:val="0"/>
                <w:i w:val="0"/>
                <w:color w:val="000000"/>
                <w:sz w:val="20"/>
                <w:highlight w:val="yellow"/>
              </w:rPr>
              <w:t>[ЗАПОЛНИТЬ]</w:t>
            </w:r>
          </w:p>
        </w:tc>
      </w:tr>
      <w:tr w14:paraId="063E4771">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45ECB42F">
            <w:pPr>
              <w:keepNext w:val="0"/>
              <w:spacing w:after="20" w:line="240" w:lineRule="auto"/>
              <w:ind w:firstLine="0"/>
              <w:jc w:val="left"/>
            </w:pPr>
            <w:r>
              <w:rPr>
                <w:rFonts w:ascii="Times New Roman" w:hAnsi="Times New Roman" w:eastAsia="Times New Roman" w:cs="Times New Roman"/>
                <w:b w:val="0"/>
                <w:i w:val="0"/>
                <w:color w:val="000000"/>
                <w:sz w:val="20"/>
              </w:rPr>
              <w:t>Летние помещения: вид и местоположение</w:t>
            </w:r>
          </w:p>
        </w:tc>
        <w:tc>
          <w:tcPr>
            <w:tcW w:w="6066" w:type="dxa"/>
            <w:vAlign w:val="center"/>
          </w:tcPr>
          <w:p w14:paraId="2B2A4265">
            <w:pPr>
              <w:keepNext w:val="0"/>
              <w:spacing w:after="20" w:line="240" w:lineRule="auto"/>
              <w:ind w:firstLine="0"/>
              <w:jc w:val="left"/>
            </w:pPr>
            <w:r>
              <w:rPr>
                <w:rFonts w:ascii="Times New Roman" w:hAnsi="Times New Roman" w:eastAsia="Times New Roman" w:cs="Times New Roman"/>
                <w:b w:val="0"/>
                <w:i w:val="0"/>
                <w:color w:val="000000"/>
                <w:sz w:val="20"/>
                <w:highlight w:val="yellow"/>
              </w:rPr>
              <w:t>[ЗАПОЛНИТЬ: отсутствуют / балкон / лоджия / терраса; по каждому — вид, уровень и местоположение]</w:t>
            </w:r>
          </w:p>
        </w:tc>
      </w:tr>
      <w:tr w14:paraId="02BBC175">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37E622CF">
            <w:pPr>
              <w:keepNext w:val="0"/>
              <w:spacing w:after="20" w:line="240" w:lineRule="auto"/>
              <w:ind w:firstLine="0"/>
              <w:jc w:val="left"/>
            </w:pPr>
            <w:r>
              <w:rPr>
                <w:rFonts w:ascii="Times New Roman" w:hAnsi="Times New Roman" w:eastAsia="Times New Roman" w:cs="Times New Roman"/>
                <w:b w:val="0"/>
                <w:i w:val="0"/>
                <w:color w:val="000000"/>
                <w:sz w:val="20"/>
              </w:rPr>
              <w:t>Полная геометрическая площадь каждого Летнего помещения, кв. м</w:t>
            </w:r>
          </w:p>
        </w:tc>
        <w:tc>
          <w:tcPr>
            <w:tcW w:w="6066" w:type="dxa"/>
            <w:vAlign w:val="center"/>
          </w:tcPr>
          <w:p w14:paraId="17068983">
            <w:pPr>
              <w:keepNext w:val="0"/>
              <w:spacing w:after="20" w:line="240" w:lineRule="auto"/>
              <w:ind w:firstLine="0"/>
              <w:jc w:val="left"/>
            </w:pPr>
            <w:r>
              <w:rPr>
                <w:rFonts w:ascii="Times New Roman" w:hAnsi="Times New Roman" w:eastAsia="Times New Roman" w:cs="Times New Roman"/>
                <w:b w:val="0"/>
                <w:i w:val="0"/>
                <w:color w:val="000000"/>
                <w:sz w:val="20"/>
                <w:highlight w:val="yellow"/>
              </w:rPr>
              <w:t>[ЗАПОЛНИТЬ ОТДЕЛЬНО ПО КАЖДОМУ ЛЕТНЕМУ ПОМЕЩЕНИЮ]</w:t>
            </w:r>
          </w:p>
        </w:tc>
      </w:tr>
      <w:tr w14:paraId="144DC73E">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1166D929">
            <w:pPr>
              <w:keepNext w:val="0"/>
              <w:spacing w:after="20" w:line="240" w:lineRule="auto"/>
              <w:ind w:firstLine="0"/>
              <w:jc w:val="left"/>
            </w:pPr>
            <w:r>
              <w:rPr>
                <w:rFonts w:ascii="Times New Roman" w:hAnsi="Times New Roman" w:eastAsia="Times New Roman" w:cs="Times New Roman"/>
                <w:b w:val="0"/>
                <w:i w:val="0"/>
                <w:color w:val="000000"/>
                <w:sz w:val="20"/>
              </w:rPr>
              <w:t>Понижающий коэффициент каждого Летнего помещения</w:t>
            </w:r>
          </w:p>
        </w:tc>
        <w:tc>
          <w:tcPr>
            <w:tcW w:w="6066" w:type="dxa"/>
            <w:vAlign w:val="center"/>
          </w:tcPr>
          <w:p w14:paraId="00920038">
            <w:pPr>
              <w:keepNext w:val="0"/>
              <w:spacing w:after="20" w:line="240" w:lineRule="auto"/>
              <w:ind w:firstLine="0"/>
              <w:jc w:val="left"/>
            </w:pPr>
            <w:r>
              <w:rPr>
                <w:rFonts w:ascii="Times New Roman" w:hAnsi="Times New Roman" w:eastAsia="Times New Roman" w:cs="Times New Roman"/>
                <w:b w:val="0"/>
                <w:i w:val="0"/>
                <w:color w:val="000000"/>
                <w:sz w:val="20"/>
                <w:highlight w:val="yellow"/>
              </w:rPr>
              <w:t>[ЗАПОЛНИТЬ: балкон — 0,3; лоджия — 0,5; терраса — 0,3]</w:t>
            </w:r>
          </w:p>
        </w:tc>
      </w:tr>
      <w:tr w14:paraId="2A38406A">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4E59D978">
            <w:pPr>
              <w:keepNext w:val="0"/>
              <w:spacing w:after="20" w:line="240" w:lineRule="auto"/>
              <w:ind w:firstLine="0"/>
              <w:jc w:val="left"/>
            </w:pPr>
            <w:r>
              <w:rPr>
                <w:rFonts w:ascii="Times New Roman" w:hAnsi="Times New Roman" w:eastAsia="Times New Roman" w:cs="Times New Roman"/>
                <w:b w:val="0"/>
                <w:i w:val="0"/>
                <w:color w:val="000000"/>
                <w:sz w:val="20"/>
              </w:rPr>
              <w:t>Проектная общая площадь Квартиры без учета Летних помещений, кв. м</w:t>
            </w:r>
          </w:p>
        </w:tc>
        <w:tc>
          <w:tcPr>
            <w:tcW w:w="6066" w:type="dxa"/>
            <w:vAlign w:val="center"/>
          </w:tcPr>
          <w:p w14:paraId="35D9636F">
            <w:pPr>
              <w:keepNext w:val="0"/>
              <w:spacing w:after="20" w:line="240" w:lineRule="auto"/>
              <w:ind w:firstLine="0"/>
              <w:jc w:val="left"/>
            </w:pPr>
            <w:r>
              <w:rPr>
                <w:highlight w:val="yellow"/>
              </w:rPr>
              <w:t>[ЗАПОЛНИТЬ ПО ЭКСПЛИКАЦИИ: без Летних помещений; оба уровня учитываются один раз. Проверить состав площади из декларации.]</w:t>
            </w:r>
          </w:p>
        </w:tc>
      </w:tr>
      <w:tr w14:paraId="5170AA0D">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5B034EC0">
            <w:pPr>
              <w:keepNext w:val="0"/>
              <w:spacing w:after="20" w:line="240" w:lineRule="auto"/>
              <w:ind w:firstLine="0"/>
              <w:jc w:val="left"/>
            </w:pPr>
            <w:r>
              <w:rPr>
                <w:rFonts w:ascii="Times New Roman" w:hAnsi="Times New Roman" w:eastAsia="Times New Roman" w:cs="Times New Roman"/>
                <w:b w:val="0"/>
                <w:i w:val="0"/>
                <w:color w:val="000000"/>
                <w:sz w:val="20"/>
              </w:rPr>
              <w:t>Проектная площадь Квартиры с полной площадью Летних помещений без понижающих коэффициентов, кв. м</w:t>
            </w:r>
          </w:p>
        </w:tc>
        <w:tc>
          <w:tcPr>
            <w:tcW w:w="6066" w:type="dxa"/>
            <w:vAlign w:val="center"/>
          </w:tcPr>
          <w:p w14:paraId="0C32479C">
            <w:pPr>
              <w:keepNext w:val="0"/>
              <w:spacing w:after="20" w:line="240" w:lineRule="auto"/>
              <w:ind w:firstLine="0"/>
              <w:jc w:val="left"/>
            </w:pPr>
            <w:r>
              <w:rPr>
                <w:rFonts w:ascii="Times New Roman" w:hAnsi="Times New Roman" w:eastAsia="Times New Roman" w:cs="Times New Roman"/>
                <w:b w:val="0"/>
                <w:i w:val="0"/>
                <w:color w:val="000000"/>
                <w:sz w:val="20"/>
                <w:highlight w:val="yellow"/>
              </w:rPr>
              <w:t>[ЗАПОЛНИТЬ: общая площадь Квартиры без Летних помещений + полная площадь каждого Летнего помещения]</w:t>
            </w:r>
          </w:p>
        </w:tc>
      </w:tr>
      <w:tr w14:paraId="5A85AA08">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774A30CF">
            <w:pPr>
              <w:keepNext w:val="0"/>
              <w:spacing w:after="20" w:line="240" w:lineRule="auto"/>
              <w:ind w:firstLine="0"/>
              <w:jc w:val="left"/>
            </w:pPr>
            <w:r>
              <w:rPr>
                <w:rFonts w:ascii="Times New Roman" w:hAnsi="Times New Roman" w:eastAsia="Times New Roman" w:cs="Times New Roman"/>
                <w:b w:val="0"/>
                <w:i w:val="0"/>
                <w:color w:val="000000"/>
                <w:sz w:val="20"/>
              </w:rPr>
              <w:t>Проектная приведенная площадь Квартиры, кв. м</w:t>
            </w:r>
          </w:p>
        </w:tc>
        <w:tc>
          <w:tcPr>
            <w:tcW w:w="6066" w:type="dxa"/>
            <w:vAlign w:val="center"/>
          </w:tcPr>
          <w:p w14:paraId="3DBA1C12">
            <w:pPr>
              <w:keepNext w:val="0"/>
              <w:spacing w:after="20" w:line="240" w:lineRule="auto"/>
              <w:ind w:firstLine="0"/>
              <w:jc w:val="left"/>
            </w:pPr>
            <w:r>
              <w:rPr>
                <w:rFonts w:ascii="Times New Roman" w:hAnsi="Times New Roman" w:eastAsia="Times New Roman" w:cs="Times New Roman"/>
                <w:b w:val="0"/>
                <w:i w:val="0"/>
                <w:color w:val="000000"/>
                <w:sz w:val="20"/>
                <w:highlight w:val="yellow"/>
              </w:rPr>
              <w:t>[ЗАПОЛНИТЬ: общая площадь без Летних помещений + балконы × 0,3 + лоджии × 0,5 + террасы × 0,3]</w:t>
            </w:r>
          </w:p>
        </w:tc>
      </w:tr>
      <w:tr w14:paraId="605EDDAA">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6610CF81">
            <w:pPr>
              <w:keepNext w:val="0"/>
              <w:spacing w:after="20" w:line="240" w:lineRule="auto"/>
              <w:ind w:firstLine="0"/>
              <w:jc w:val="left"/>
            </w:pPr>
            <w:r>
              <w:rPr>
                <w:rFonts w:ascii="Times New Roman" w:hAnsi="Times New Roman" w:eastAsia="Times New Roman" w:cs="Times New Roman"/>
                <w:b w:val="0"/>
                <w:i w:val="0"/>
                <w:color w:val="000000"/>
                <w:sz w:val="20"/>
              </w:rPr>
              <w:t>Проектная жилая площадь Квартиры, кв. м</w:t>
            </w:r>
          </w:p>
        </w:tc>
        <w:tc>
          <w:tcPr>
            <w:tcW w:w="6066" w:type="dxa"/>
            <w:vAlign w:val="center"/>
          </w:tcPr>
          <w:p w14:paraId="0CBC1D4F">
            <w:pPr>
              <w:keepNext w:val="0"/>
              <w:spacing w:after="20" w:line="240" w:lineRule="auto"/>
              <w:ind w:firstLine="0"/>
              <w:jc w:val="left"/>
            </w:pPr>
            <w:r>
              <w:rPr>
                <w:rFonts w:ascii="Times New Roman" w:hAnsi="Times New Roman" w:eastAsia="Times New Roman" w:cs="Times New Roman"/>
                <w:b w:val="0"/>
                <w:i w:val="0"/>
                <w:color w:val="000000"/>
                <w:sz w:val="20"/>
                <w:highlight w:val="yellow"/>
              </w:rPr>
              <w:t>[ЗАПОЛНИТЬ: сумма площадей жилых комнат]</w:t>
            </w:r>
          </w:p>
        </w:tc>
      </w:tr>
      <w:tr w14:paraId="5748963B">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6E3CAAC5">
            <w:pPr>
              <w:keepNext w:val="0"/>
              <w:spacing w:after="20" w:line="240" w:lineRule="auto"/>
              <w:ind w:firstLine="0"/>
              <w:jc w:val="left"/>
            </w:pPr>
            <w:r>
              <w:rPr>
                <w:rFonts w:ascii="Times New Roman" w:hAnsi="Times New Roman" w:eastAsia="Times New Roman" w:cs="Times New Roman"/>
                <w:b w:val="0"/>
                <w:i w:val="0"/>
                <w:color w:val="000000"/>
                <w:sz w:val="20"/>
              </w:rPr>
              <w:t>Цена 1 кв. м Проектной приведенной площади</w:t>
            </w:r>
          </w:p>
        </w:tc>
        <w:tc>
          <w:tcPr>
            <w:tcW w:w="6066" w:type="dxa"/>
            <w:vAlign w:val="center"/>
          </w:tcPr>
          <w:p w14:paraId="7320146A">
            <w:pPr>
              <w:keepNext w:val="0"/>
              <w:spacing w:after="20" w:line="240" w:lineRule="auto"/>
              <w:ind w:firstLine="0"/>
              <w:jc w:val="left"/>
            </w:pPr>
            <w:r>
              <w:rPr>
                <w:rFonts w:ascii="Times New Roman" w:hAnsi="Times New Roman" w:eastAsia="Times New Roman" w:cs="Times New Roman"/>
                <w:b w:val="0"/>
                <w:i w:val="0"/>
                <w:color w:val="000000"/>
                <w:sz w:val="20"/>
                <w:highlight w:val="yellow"/>
              </w:rPr>
              <w:t>[ЗАПОЛНИТЬ: рубли и копейки]</w:t>
            </w:r>
          </w:p>
        </w:tc>
      </w:tr>
      <w:tr w14:paraId="621E8E27">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21E2E795">
            <w:pPr>
              <w:keepNext w:val="0"/>
              <w:spacing w:after="20" w:line="240" w:lineRule="auto"/>
              <w:ind w:firstLine="0"/>
              <w:jc w:val="left"/>
            </w:pPr>
            <w:r>
              <w:rPr>
                <w:rFonts w:ascii="Times New Roman" w:hAnsi="Times New Roman" w:eastAsia="Times New Roman" w:cs="Times New Roman"/>
                <w:b w:val="0"/>
                <w:i w:val="0"/>
                <w:color w:val="000000"/>
                <w:sz w:val="20"/>
              </w:rPr>
              <w:t>Цена Договора с учетом согласованной скидки</w:t>
            </w:r>
          </w:p>
        </w:tc>
        <w:tc>
          <w:tcPr>
            <w:tcW w:w="6066" w:type="dxa"/>
            <w:vAlign w:val="center"/>
          </w:tcPr>
          <w:p w14:paraId="2BBFE21C">
            <w:pPr>
              <w:keepNext w:val="0"/>
              <w:spacing w:after="20" w:line="240" w:lineRule="auto"/>
              <w:ind w:firstLine="0"/>
              <w:jc w:val="left"/>
            </w:pPr>
            <w:r>
              <w:rPr>
                <w:rFonts w:ascii="Times New Roman" w:hAnsi="Times New Roman" w:eastAsia="Times New Roman" w:cs="Times New Roman"/>
                <w:b w:val="0"/>
                <w:i w:val="0"/>
                <w:color w:val="000000"/>
                <w:sz w:val="20"/>
                <w:highlight w:val="yellow"/>
              </w:rPr>
              <w:t>[ЗАПОЛНИТЬ: сумма цифрами и прописью; должна совпадать с пунктом 4.1]</w:t>
            </w:r>
          </w:p>
        </w:tc>
      </w:tr>
      <w:tr w14:paraId="38700FF1">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2540ABBC">
            <w:pPr>
              <w:keepNext w:val="0"/>
              <w:spacing w:after="20" w:line="240" w:lineRule="auto"/>
              <w:ind w:firstLine="0"/>
              <w:jc w:val="left"/>
            </w:pPr>
            <w:r>
              <w:rPr>
                <w:rFonts w:ascii="Times New Roman" w:hAnsi="Times New Roman" w:eastAsia="Times New Roman" w:cs="Times New Roman"/>
                <w:b w:val="0"/>
                <w:i w:val="0"/>
                <w:color w:val="000000"/>
                <w:sz w:val="20"/>
              </w:rPr>
              <w:t>Предельный срок передачи Квартиры</w:t>
            </w:r>
          </w:p>
        </w:tc>
        <w:tc>
          <w:tcPr>
            <w:tcW w:w="6066" w:type="dxa"/>
            <w:vAlign w:val="center"/>
          </w:tcPr>
          <w:p w14:paraId="1B4C41F2">
            <w:pPr>
              <w:keepNext w:val="0"/>
              <w:spacing w:after="20" w:line="240" w:lineRule="auto"/>
              <w:ind w:firstLine="0"/>
              <w:jc w:val="left"/>
            </w:pPr>
            <w:r>
              <w:t>Не позднее 08 сентября 2029 года</w:t>
            </w:r>
          </w:p>
        </w:tc>
      </w:tr>
      <w:tr w14:paraId="4D1560DA">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19CB2880">
            <w:pPr>
              <w:keepNext w:val="0"/>
              <w:spacing w:after="20" w:line="240" w:lineRule="auto"/>
              <w:ind w:firstLine="0"/>
              <w:jc w:val="left"/>
            </w:pPr>
            <w:r>
              <w:rPr>
                <w:rFonts w:ascii="Times New Roman" w:hAnsi="Times New Roman" w:eastAsia="Times New Roman" w:cs="Times New Roman"/>
                <w:b w:val="0"/>
                <w:i w:val="0"/>
                <w:color w:val="000000"/>
                <w:sz w:val="20"/>
              </w:rPr>
              <w:t>Степень готовности</w:t>
            </w:r>
          </w:p>
        </w:tc>
        <w:tc>
          <w:tcPr>
            <w:tcW w:w="6066" w:type="dxa"/>
            <w:vAlign w:val="center"/>
          </w:tcPr>
          <w:p w14:paraId="4702B9C8">
            <w:pPr>
              <w:keepNext w:val="0"/>
              <w:spacing w:after="20" w:line="240" w:lineRule="auto"/>
              <w:ind w:firstLine="0"/>
              <w:jc w:val="left"/>
            </w:pPr>
            <w:r>
              <w:rPr>
                <w:rFonts w:ascii="Times New Roman" w:hAnsi="Times New Roman" w:eastAsia="Times New Roman" w:cs="Times New Roman"/>
                <w:b w:val="0"/>
                <w:i w:val="0"/>
                <w:color w:val="000000"/>
                <w:sz w:val="20"/>
              </w:rPr>
              <w:t>Без чистовой отделки, в составе согласно Приложению № 3</w:t>
            </w:r>
          </w:p>
        </w:tc>
      </w:tr>
      <w:tr w14:paraId="714880B8">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5422E24A">
            <w:pPr>
              <w:keepNext w:val="0"/>
              <w:spacing w:after="20" w:line="240" w:lineRule="auto"/>
              <w:ind w:firstLine="0"/>
              <w:jc w:val="left"/>
            </w:pPr>
            <w:r>
              <w:rPr>
                <w:rFonts w:ascii="Times New Roman" w:hAnsi="Times New Roman" w:eastAsia="Times New Roman" w:cs="Times New Roman"/>
                <w:b w:val="0"/>
                <w:i w:val="0"/>
                <w:color w:val="000000"/>
                <w:sz w:val="20"/>
              </w:rPr>
              <w:t>Предельно допустимое изменение общей площади Квартиры без Летних помещений</w:t>
            </w:r>
          </w:p>
        </w:tc>
        <w:tc>
          <w:tcPr>
            <w:tcW w:w="6066" w:type="dxa"/>
            <w:vAlign w:val="center"/>
          </w:tcPr>
          <w:p w14:paraId="618B4718">
            <w:pPr>
              <w:keepNext w:val="0"/>
              <w:spacing w:after="20" w:line="240" w:lineRule="auto"/>
              <w:ind w:firstLine="0"/>
              <w:jc w:val="left"/>
            </w:pPr>
            <w:r>
              <w:rPr>
                <w:rFonts w:ascii="Times New Roman" w:hAnsi="Times New Roman" w:eastAsia="Times New Roman" w:cs="Times New Roman"/>
                <w:b w:val="0"/>
                <w:i w:val="0"/>
                <w:color w:val="000000"/>
                <w:sz w:val="20"/>
              </w:rPr>
              <w:t>5% от Проектной общей площади Квартиры без учета Летних помещений</w:t>
            </w:r>
          </w:p>
        </w:tc>
      </w:tr>
    </w:tbl>
    <w:p w14:paraId="632EE5AF">
      <w:pPr>
        <w:spacing w:before="0" w:after="0" w:line="40" w:lineRule="exact"/>
      </w:pPr>
    </w:p>
    <w:p w14:paraId="3A4108C9">
      <w:pPr>
        <w:pStyle w:val="2"/>
        <w:keepNext/>
        <w:widowControl/>
        <w:spacing w:before="160" w:after="80" w:line="245" w:lineRule="auto"/>
        <w:ind w:firstLine="0"/>
        <w:jc w:val="left"/>
      </w:pPr>
      <w:r>
        <w:rPr>
          <w:rFonts w:ascii="Times New Roman" w:hAnsi="Times New Roman" w:eastAsia="Times New Roman" w:cs="Times New Roman"/>
          <w:b/>
          <w:i w:val="0"/>
          <w:color w:val="000000"/>
          <w:sz w:val="22"/>
        </w:rPr>
        <w:t>2. Многоквартирный жилой дом</w:t>
      </w:r>
    </w:p>
    <w:tbl>
      <w:tblPr>
        <w:tblStyle w:val="12"/>
        <w:tblW w:w="0" w:type="auto"/>
        <w:jc w:val="center"/>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40" w:type="dxa"/>
          <w:left w:w="90" w:type="dxa"/>
          <w:bottom w:w="40" w:type="dxa"/>
          <w:right w:w="90" w:type="dxa"/>
        </w:tblCellMar>
      </w:tblPr>
      <w:tblGrid>
        <w:gridCol w:w="3855"/>
        <w:gridCol w:w="6066"/>
      </w:tblGrid>
      <w:tr w14:paraId="342DD392">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tblHeader/>
          <w:jc w:val="center"/>
        </w:trPr>
        <w:tc>
          <w:tcPr>
            <w:tcW w:w="3855" w:type="dxa"/>
            <w:shd w:val="clear" w:color="auto" w:fill="EEEEEE"/>
            <w:vAlign w:val="center"/>
          </w:tcPr>
          <w:p w14:paraId="3B66164B">
            <w:pPr>
              <w:keepNext w:val="0"/>
              <w:spacing w:after="20" w:line="240" w:lineRule="auto"/>
              <w:ind w:firstLine="0"/>
              <w:jc w:val="left"/>
            </w:pPr>
            <w:r>
              <w:rPr>
                <w:rFonts w:ascii="Times New Roman" w:hAnsi="Times New Roman" w:eastAsia="Times New Roman" w:cs="Times New Roman"/>
                <w:b/>
                <w:i w:val="0"/>
                <w:color w:val="000000"/>
                <w:sz w:val="20"/>
              </w:rPr>
              <w:t>Показатель</w:t>
            </w:r>
          </w:p>
        </w:tc>
        <w:tc>
          <w:tcPr>
            <w:tcW w:w="6066" w:type="dxa"/>
            <w:shd w:val="clear" w:color="auto" w:fill="EEEEEE"/>
            <w:vAlign w:val="center"/>
          </w:tcPr>
          <w:p w14:paraId="44497632">
            <w:pPr>
              <w:keepNext w:val="0"/>
              <w:spacing w:after="20" w:line="240" w:lineRule="auto"/>
              <w:ind w:firstLine="0"/>
              <w:jc w:val="left"/>
            </w:pPr>
            <w:r>
              <w:rPr>
                <w:rFonts w:ascii="Times New Roman" w:hAnsi="Times New Roman" w:eastAsia="Times New Roman" w:cs="Times New Roman"/>
                <w:b/>
                <w:i w:val="0"/>
                <w:color w:val="000000"/>
                <w:sz w:val="20"/>
              </w:rPr>
              <w:t>Значение</w:t>
            </w:r>
          </w:p>
        </w:tc>
      </w:tr>
      <w:tr w14:paraId="254DDB3B">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5CA0400B">
            <w:pPr>
              <w:keepNext w:val="0"/>
              <w:spacing w:after="20" w:line="240" w:lineRule="auto"/>
              <w:ind w:firstLine="0"/>
              <w:jc w:val="left"/>
            </w:pPr>
            <w:r>
              <w:rPr>
                <w:rFonts w:ascii="Times New Roman" w:hAnsi="Times New Roman" w:eastAsia="Times New Roman" w:cs="Times New Roman"/>
                <w:b w:val="0"/>
                <w:i w:val="0"/>
                <w:color w:val="000000"/>
                <w:sz w:val="20"/>
              </w:rPr>
              <w:t>Вид и назначение</w:t>
            </w:r>
          </w:p>
        </w:tc>
        <w:tc>
          <w:tcPr>
            <w:tcW w:w="6066" w:type="dxa"/>
            <w:vAlign w:val="center"/>
          </w:tcPr>
          <w:p w14:paraId="4AAC2498">
            <w:pPr>
              <w:keepNext w:val="0"/>
              <w:spacing w:after="20" w:line="240" w:lineRule="auto"/>
              <w:ind w:firstLine="0"/>
              <w:jc w:val="left"/>
            </w:pPr>
            <w:r>
              <w:rPr>
                <w:rFonts w:ascii="Times New Roman" w:hAnsi="Times New Roman" w:eastAsia="Times New Roman" w:cs="Times New Roman"/>
                <w:b w:val="0"/>
                <w:i w:val="0"/>
                <w:color w:val="000000"/>
                <w:sz w:val="20"/>
              </w:rPr>
              <w:t>Многоквартирный жилой дом со встроенными нежилыми помещениями и подземной автостоянкой</w:t>
            </w:r>
          </w:p>
        </w:tc>
      </w:tr>
      <w:tr w14:paraId="14CE95A4">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638F610D">
            <w:pPr>
              <w:keepNext w:val="0"/>
              <w:spacing w:after="20" w:line="240" w:lineRule="auto"/>
              <w:ind w:firstLine="0"/>
              <w:jc w:val="left"/>
            </w:pPr>
            <w:r>
              <w:rPr>
                <w:rFonts w:ascii="Times New Roman" w:hAnsi="Times New Roman" w:eastAsia="Times New Roman" w:cs="Times New Roman"/>
                <w:b w:val="0"/>
                <w:i w:val="0"/>
                <w:color w:val="000000"/>
                <w:sz w:val="20"/>
              </w:rPr>
              <w:t>Состав здания</w:t>
            </w:r>
          </w:p>
        </w:tc>
        <w:tc>
          <w:tcPr>
            <w:tcW w:w="6066" w:type="dxa"/>
            <w:vAlign w:val="center"/>
          </w:tcPr>
          <w:p w14:paraId="02132C46">
            <w:pPr>
              <w:keepNext w:val="0"/>
              <w:spacing w:after="20" w:line="240" w:lineRule="auto"/>
              <w:ind w:firstLine="0"/>
              <w:jc w:val="left"/>
            </w:pPr>
            <w:r>
              <w:rPr>
                <w:rFonts w:ascii="Times New Roman" w:hAnsi="Times New Roman" w:eastAsia="Times New Roman" w:cs="Times New Roman"/>
                <w:b w:val="0"/>
                <w:i w:val="0"/>
                <w:color w:val="000000"/>
                <w:sz w:val="20"/>
              </w:rPr>
              <w:t>Три надземных корпуса; 12 секций; 239 квартир</w:t>
            </w:r>
          </w:p>
        </w:tc>
      </w:tr>
      <w:tr w14:paraId="43154707">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6122177D">
            <w:pPr>
              <w:keepNext w:val="0"/>
              <w:spacing w:after="20" w:line="240" w:lineRule="auto"/>
              <w:ind w:firstLine="0"/>
              <w:jc w:val="left"/>
            </w:pPr>
            <w:r>
              <w:rPr>
                <w:rFonts w:ascii="Times New Roman" w:hAnsi="Times New Roman" w:eastAsia="Times New Roman" w:cs="Times New Roman"/>
                <w:b w:val="0"/>
                <w:i w:val="0"/>
                <w:color w:val="000000"/>
                <w:sz w:val="20"/>
              </w:rPr>
              <w:t>Количество этажей</w:t>
            </w:r>
          </w:p>
        </w:tc>
        <w:tc>
          <w:tcPr>
            <w:tcW w:w="6066" w:type="dxa"/>
            <w:vAlign w:val="center"/>
          </w:tcPr>
          <w:p w14:paraId="472C5308">
            <w:pPr>
              <w:keepNext w:val="0"/>
              <w:spacing w:after="20" w:line="240" w:lineRule="auto"/>
              <w:ind w:firstLine="0"/>
              <w:jc w:val="left"/>
            </w:pPr>
            <w:r>
              <w:t>8 этажей по пунктам 9.2.19–9.2.20 проектной декларации. По разделу АР: 6–7 надземных этажей и один подземный (подвальный) уровень.</w:t>
            </w:r>
          </w:p>
        </w:tc>
      </w:tr>
      <w:tr w14:paraId="5631025E">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17ECF3D9">
            <w:pPr>
              <w:keepNext w:val="0"/>
              <w:spacing w:after="20" w:line="240" w:lineRule="auto"/>
              <w:ind w:firstLine="0"/>
              <w:jc w:val="left"/>
            </w:pPr>
            <w:r>
              <w:rPr>
                <w:rFonts w:ascii="Times New Roman" w:hAnsi="Times New Roman" w:eastAsia="Times New Roman" w:cs="Times New Roman"/>
                <w:b w:val="0"/>
                <w:i w:val="0"/>
                <w:color w:val="000000"/>
                <w:sz w:val="20"/>
              </w:rPr>
              <w:t>Общая площадь Дома</w:t>
            </w:r>
          </w:p>
        </w:tc>
        <w:tc>
          <w:tcPr>
            <w:tcW w:w="6066" w:type="dxa"/>
            <w:vAlign w:val="center"/>
          </w:tcPr>
          <w:p w14:paraId="3DD90E68">
            <w:pPr>
              <w:keepNext w:val="0"/>
              <w:spacing w:after="20" w:line="240" w:lineRule="auto"/>
              <w:ind w:firstLine="0"/>
              <w:jc w:val="left"/>
            </w:pPr>
            <w:r>
              <w:t>30 656,00 кв. м</w:t>
            </w:r>
          </w:p>
        </w:tc>
      </w:tr>
      <w:tr w14:paraId="5513EB51">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348B9AD0">
            <w:pPr>
              <w:keepNext w:val="0"/>
              <w:spacing w:after="20" w:line="240" w:lineRule="auto"/>
              <w:ind w:firstLine="0"/>
              <w:jc w:val="left"/>
            </w:pPr>
            <w:r>
              <w:rPr>
                <w:rFonts w:ascii="Times New Roman" w:hAnsi="Times New Roman" w:eastAsia="Times New Roman" w:cs="Times New Roman"/>
                <w:b w:val="0"/>
                <w:i w:val="0"/>
                <w:color w:val="000000"/>
                <w:sz w:val="20"/>
              </w:rPr>
              <w:t>Материал наружных стен</w:t>
            </w:r>
          </w:p>
        </w:tc>
        <w:tc>
          <w:tcPr>
            <w:tcW w:w="6066" w:type="dxa"/>
            <w:vAlign w:val="center"/>
          </w:tcPr>
          <w:p w14:paraId="375D5CB4">
            <w:pPr>
              <w:keepNext w:val="0"/>
              <w:spacing w:after="20" w:line="240" w:lineRule="auto"/>
              <w:ind w:firstLine="0"/>
              <w:jc w:val="left"/>
            </w:pPr>
            <w:r>
              <w:t>Монолитный железобетонный каркас; стены из мелкоштучных каменных материалов (кирпич, керамические камни, блоки и др.) по проектной декларации и разделу АР.</w:t>
            </w:r>
          </w:p>
        </w:tc>
      </w:tr>
      <w:tr w14:paraId="66265573">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687E4587">
            <w:pPr>
              <w:keepNext w:val="0"/>
              <w:spacing w:after="20" w:line="240" w:lineRule="auto"/>
              <w:ind w:firstLine="0"/>
              <w:jc w:val="left"/>
            </w:pPr>
            <w:r>
              <w:rPr>
                <w:rFonts w:ascii="Times New Roman" w:hAnsi="Times New Roman" w:eastAsia="Times New Roman" w:cs="Times New Roman"/>
                <w:b w:val="0"/>
                <w:i w:val="0"/>
                <w:color w:val="000000"/>
                <w:sz w:val="20"/>
              </w:rPr>
              <w:t>Материал поэтажных перекрытий</w:t>
            </w:r>
          </w:p>
        </w:tc>
        <w:tc>
          <w:tcPr>
            <w:tcW w:w="6066" w:type="dxa"/>
            <w:vAlign w:val="center"/>
          </w:tcPr>
          <w:p w14:paraId="73CDA8A3">
            <w:pPr>
              <w:keepNext w:val="0"/>
              <w:spacing w:after="20" w:line="240" w:lineRule="auto"/>
              <w:ind w:firstLine="0"/>
              <w:jc w:val="left"/>
            </w:pPr>
            <w:r>
              <w:t>Монолитные железобетонные</w:t>
            </w:r>
          </w:p>
        </w:tc>
      </w:tr>
      <w:tr w14:paraId="6F6AE8CA">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123CEFB8">
            <w:pPr>
              <w:keepNext w:val="0"/>
              <w:spacing w:after="20" w:line="240" w:lineRule="auto"/>
              <w:ind w:firstLine="0"/>
              <w:jc w:val="left"/>
            </w:pPr>
            <w:r>
              <w:rPr>
                <w:rFonts w:ascii="Times New Roman" w:hAnsi="Times New Roman" w:eastAsia="Times New Roman" w:cs="Times New Roman"/>
                <w:b w:val="0"/>
                <w:i w:val="0"/>
                <w:color w:val="000000"/>
                <w:sz w:val="20"/>
              </w:rPr>
              <w:t>Класс энергетической эффективности</w:t>
            </w:r>
          </w:p>
        </w:tc>
        <w:tc>
          <w:tcPr>
            <w:tcW w:w="6066" w:type="dxa"/>
            <w:vAlign w:val="center"/>
          </w:tcPr>
          <w:p w14:paraId="56446349">
            <w:pPr>
              <w:keepNext w:val="0"/>
              <w:spacing w:after="20" w:line="240" w:lineRule="auto"/>
              <w:ind w:firstLine="0"/>
              <w:jc w:val="left"/>
            </w:pPr>
            <w:r>
              <w:t>А++</w:t>
            </w:r>
          </w:p>
        </w:tc>
      </w:tr>
      <w:tr w14:paraId="7C4F0DA2">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22F472B0">
            <w:pPr>
              <w:keepNext w:val="0"/>
              <w:spacing w:after="20" w:line="240" w:lineRule="auto"/>
              <w:ind w:firstLine="0"/>
              <w:jc w:val="left"/>
            </w:pPr>
            <w:r>
              <w:rPr>
                <w:rFonts w:ascii="Times New Roman" w:hAnsi="Times New Roman" w:eastAsia="Times New Roman" w:cs="Times New Roman"/>
                <w:b w:val="0"/>
                <w:i w:val="0"/>
                <w:color w:val="000000"/>
                <w:sz w:val="20"/>
              </w:rPr>
              <w:t>Сейсмостойкость</w:t>
            </w:r>
          </w:p>
        </w:tc>
        <w:tc>
          <w:tcPr>
            <w:tcW w:w="6066" w:type="dxa"/>
            <w:vAlign w:val="center"/>
          </w:tcPr>
          <w:p w14:paraId="7ED03972">
            <w:pPr>
              <w:keepNext w:val="0"/>
              <w:spacing w:after="20" w:line="240" w:lineRule="auto"/>
              <w:ind w:firstLine="0"/>
              <w:jc w:val="left"/>
            </w:pPr>
            <w:r>
              <w:rPr>
                <w:rFonts w:ascii="Times New Roman" w:hAnsi="Times New Roman"/>
                <w:b w:val="0"/>
                <w:sz w:val="22"/>
                <w:highlight w:val="yellow"/>
              </w:rPr>
              <w:t>[ЗАПОЛНИТЬ ДО ПОДПИСАНИЯ]</w:t>
            </w:r>
          </w:p>
        </w:tc>
      </w:tr>
      <w:tr w14:paraId="78C74826">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5D023193">
            <w:pPr>
              <w:keepNext w:val="0"/>
              <w:spacing w:after="20" w:line="240" w:lineRule="auto"/>
              <w:ind w:firstLine="0"/>
              <w:jc w:val="left"/>
            </w:pPr>
            <w:r>
              <w:rPr>
                <w:rFonts w:ascii="Times New Roman" w:hAnsi="Times New Roman" w:eastAsia="Times New Roman" w:cs="Times New Roman"/>
                <w:b w:val="0"/>
                <w:i w:val="0"/>
                <w:color w:val="000000"/>
                <w:sz w:val="20"/>
              </w:rPr>
              <w:t>Источник теплоснабжения и ГВС</w:t>
            </w:r>
          </w:p>
        </w:tc>
        <w:tc>
          <w:tcPr>
            <w:tcW w:w="6066" w:type="dxa"/>
            <w:vAlign w:val="center"/>
          </w:tcPr>
          <w:p w14:paraId="6BF24661">
            <w:pPr>
              <w:keepNext w:val="0"/>
              <w:spacing w:after="20" w:line="240" w:lineRule="auto"/>
              <w:ind w:firstLine="0"/>
              <w:jc w:val="left"/>
            </w:pPr>
            <w:r>
              <w:rPr>
                <w:rFonts w:ascii="Times New Roman" w:hAnsi="Times New Roman" w:eastAsia="Times New Roman" w:cs="Times New Roman"/>
                <w:b w:val="0"/>
                <w:i w:val="0"/>
                <w:color w:val="000000"/>
                <w:sz w:val="20"/>
              </w:rPr>
              <w:t>Крышные котельные; квартирные тепловые пункты (КТП) для приготовления горячей воды в квартирах. Индивидуальный двухконтурный газовый котел в составе Квартиры не предусмотрен.</w:t>
            </w:r>
          </w:p>
        </w:tc>
      </w:tr>
      <w:tr w14:paraId="41E5ADCD">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05AAF3CC">
            <w:pPr>
              <w:keepNext w:val="0"/>
              <w:spacing w:after="20" w:line="240" w:lineRule="auto"/>
              <w:ind w:firstLine="0"/>
              <w:jc w:val="left"/>
            </w:pPr>
            <w:r>
              <w:rPr>
                <w:rFonts w:ascii="Times New Roman" w:hAnsi="Times New Roman" w:eastAsia="Times New Roman" w:cs="Times New Roman"/>
                <w:b w:val="0"/>
                <w:i w:val="0"/>
                <w:color w:val="000000"/>
                <w:sz w:val="20"/>
              </w:rPr>
              <w:t>Плановый срок ввода Дома в эксплуатацию</w:t>
            </w:r>
          </w:p>
        </w:tc>
        <w:tc>
          <w:tcPr>
            <w:tcW w:w="6066" w:type="dxa"/>
            <w:vAlign w:val="center"/>
          </w:tcPr>
          <w:p w14:paraId="679C9020">
            <w:pPr>
              <w:keepNext w:val="0"/>
              <w:spacing w:after="20" w:line="240" w:lineRule="auto"/>
              <w:ind w:firstLine="0"/>
              <w:jc w:val="left"/>
            </w:pPr>
            <w:r>
              <w:t>III квартал 2029 года. Предельный срок передачи Квартиры — 08.09.2029.</w:t>
            </w:r>
          </w:p>
        </w:tc>
      </w:tr>
    </w:tbl>
    <w:p w14:paraId="7E5DAFBD">
      <w:pPr>
        <w:spacing w:before="0" w:after="0" w:line="40" w:lineRule="exact"/>
      </w:pPr>
    </w:p>
    <w:p w14:paraId="698C0ADD">
      <w:pPr>
        <w:pStyle w:val="2"/>
        <w:keepNext/>
        <w:widowControl/>
        <w:spacing w:before="160" w:after="80" w:line="245" w:lineRule="auto"/>
        <w:ind w:firstLine="0"/>
        <w:jc w:val="left"/>
      </w:pPr>
      <w:r>
        <w:rPr>
          <w:rFonts w:ascii="Times New Roman" w:hAnsi="Times New Roman" w:eastAsia="Times New Roman" w:cs="Times New Roman"/>
          <w:b/>
          <w:i w:val="0"/>
          <w:color w:val="000000"/>
          <w:sz w:val="22"/>
        </w:rPr>
        <w:t>3. Расчеты и банковские сведения</w:t>
      </w:r>
    </w:p>
    <w:tbl>
      <w:tblPr>
        <w:tblStyle w:val="12"/>
        <w:tblW w:w="0" w:type="auto"/>
        <w:jc w:val="center"/>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40" w:type="dxa"/>
          <w:left w:w="90" w:type="dxa"/>
          <w:bottom w:w="40" w:type="dxa"/>
          <w:right w:w="90" w:type="dxa"/>
        </w:tblCellMar>
      </w:tblPr>
      <w:tblGrid>
        <w:gridCol w:w="3855"/>
        <w:gridCol w:w="6066"/>
      </w:tblGrid>
      <w:tr w14:paraId="4D8DC183">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tblHeader/>
          <w:jc w:val="center"/>
        </w:trPr>
        <w:tc>
          <w:tcPr>
            <w:tcW w:w="3855" w:type="dxa"/>
            <w:shd w:val="clear" w:color="auto" w:fill="EEEEEE"/>
            <w:vAlign w:val="center"/>
          </w:tcPr>
          <w:p w14:paraId="6ED082D1">
            <w:pPr>
              <w:keepNext w:val="0"/>
              <w:spacing w:after="20" w:line="240" w:lineRule="auto"/>
              <w:ind w:firstLine="0"/>
              <w:jc w:val="left"/>
            </w:pPr>
            <w:r>
              <w:rPr>
                <w:rFonts w:ascii="Times New Roman" w:hAnsi="Times New Roman" w:eastAsia="Times New Roman" w:cs="Times New Roman"/>
                <w:b/>
                <w:i w:val="0"/>
                <w:color w:val="000000"/>
                <w:sz w:val="20"/>
              </w:rPr>
              <w:t>Показатель</w:t>
            </w:r>
          </w:p>
        </w:tc>
        <w:tc>
          <w:tcPr>
            <w:tcW w:w="6066" w:type="dxa"/>
            <w:shd w:val="clear" w:color="auto" w:fill="EEEEEE"/>
            <w:vAlign w:val="center"/>
          </w:tcPr>
          <w:p w14:paraId="01ACA800">
            <w:pPr>
              <w:keepNext w:val="0"/>
              <w:spacing w:after="20" w:line="240" w:lineRule="auto"/>
              <w:ind w:firstLine="0"/>
              <w:jc w:val="left"/>
            </w:pPr>
            <w:r>
              <w:rPr>
                <w:rFonts w:ascii="Times New Roman" w:hAnsi="Times New Roman" w:eastAsia="Times New Roman" w:cs="Times New Roman"/>
                <w:b/>
                <w:i w:val="0"/>
                <w:color w:val="000000"/>
                <w:sz w:val="20"/>
              </w:rPr>
              <w:t>Значение</w:t>
            </w:r>
          </w:p>
        </w:tc>
      </w:tr>
      <w:tr w14:paraId="5C9F8B20">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18C74AE4">
            <w:pPr>
              <w:keepNext w:val="0"/>
              <w:spacing w:after="20" w:line="240" w:lineRule="auto"/>
              <w:ind w:firstLine="0"/>
              <w:jc w:val="left"/>
            </w:pPr>
            <w:r>
              <w:rPr>
                <w:rFonts w:ascii="Times New Roman" w:hAnsi="Times New Roman" w:eastAsia="Times New Roman" w:cs="Times New Roman"/>
                <w:b w:val="0"/>
                <w:i w:val="0"/>
                <w:color w:val="000000"/>
                <w:sz w:val="20"/>
              </w:rPr>
              <w:t>Способ оплаты</w:t>
            </w:r>
          </w:p>
        </w:tc>
        <w:tc>
          <w:tcPr>
            <w:tcW w:w="6066" w:type="dxa"/>
            <w:vAlign w:val="center"/>
          </w:tcPr>
          <w:p w14:paraId="70792422">
            <w:pPr>
              <w:keepNext w:val="0"/>
              <w:spacing w:after="20" w:line="240" w:lineRule="auto"/>
              <w:ind w:firstLine="0"/>
              <w:jc w:val="left"/>
            </w:pPr>
            <w:r>
              <w:rPr>
                <w:rFonts w:ascii="Times New Roman" w:hAnsi="Times New Roman" w:eastAsia="Times New Roman" w:cs="Times New Roman"/>
                <w:b w:val="0"/>
                <w:i w:val="0"/>
                <w:color w:val="000000"/>
                <w:sz w:val="20"/>
              </w:rPr>
              <w:t>Без рассрочки, собственные и (или) кредитные средства по пункту 5.3 Договора</w:t>
            </w:r>
          </w:p>
        </w:tc>
      </w:tr>
      <w:tr w14:paraId="206D3039">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727160A4">
            <w:pPr>
              <w:keepNext w:val="0"/>
              <w:spacing w:after="20" w:line="240" w:lineRule="auto"/>
              <w:ind w:firstLine="0"/>
              <w:jc w:val="left"/>
            </w:pPr>
            <w:r>
              <w:rPr>
                <w:rFonts w:ascii="Times New Roman" w:hAnsi="Times New Roman" w:eastAsia="Times New Roman" w:cs="Times New Roman"/>
                <w:b w:val="0"/>
                <w:i w:val="0"/>
                <w:color w:val="000000"/>
                <w:sz w:val="20"/>
              </w:rPr>
              <w:t>Эскроу-агент</w:t>
            </w:r>
          </w:p>
        </w:tc>
        <w:tc>
          <w:tcPr>
            <w:tcW w:w="6066" w:type="dxa"/>
            <w:vAlign w:val="center"/>
          </w:tcPr>
          <w:p w14:paraId="5BADE7A6">
            <w:pPr>
              <w:keepNext w:val="0"/>
              <w:spacing w:after="20" w:line="240" w:lineRule="auto"/>
              <w:ind w:firstLine="0"/>
              <w:jc w:val="left"/>
            </w:pPr>
            <w:r>
              <w:t>Публичное акционерное общество «Сбербанк России» (ПАО Сбербанк), Калининградское отделение № 8626, ИНН 7707083893, ОГРН 1027700132195</w:t>
            </w:r>
          </w:p>
        </w:tc>
      </w:tr>
      <w:tr w14:paraId="5570390C">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24407E45">
            <w:pPr>
              <w:keepNext w:val="0"/>
              <w:spacing w:after="20" w:line="240" w:lineRule="auto"/>
              <w:ind w:firstLine="0"/>
              <w:jc w:val="left"/>
            </w:pPr>
            <w:r>
              <w:rPr>
                <w:rFonts w:ascii="Times New Roman" w:hAnsi="Times New Roman" w:eastAsia="Times New Roman" w:cs="Times New Roman"/>
                <w:b w:val="0"/>
                <w:i w:val="0"/>
                <w:color w:val="000000"/>
                <w:sz w:val="20"/>
              </w:rPr>
              <w:t>Срок условного депонирования</w:t>
            </w:r>
          </w:p>
        </w:tc>
        <w:tc>
          <w:tcPr>
            <w:tcW w:w="6066" w:type="dxa"/>
            <w:vAlign w:val="center"/>
          </w:tcPr>
          <w:p w14:paraId="7E64145B">
            <w:pPr>
              <w:keepNext w:val="0"/>
              <w:spacing w:after="20" w:line="240" w:lineRule="auto"/>
              <w:ind w:firstLine="0"/>
              <w:jc w:val="left"/>
            </w:pPr>
            <w:r>
              <w:rPr>
                <w:rFonts w:ascii="Times New Roman" w:hAnsi="Times New Roman" w:eastAsia="Times New Roman" w:cs="Times New Roman"/>
                <w:b w:val="0"/>
                <w:i w:val="0"/>
                <w:color w:val="000000"/>
                <w:sz w:val="20"/>
                <w:highlight w:val="yellow"/>
              </w:rPr>
              <w:t>[ЗАПОЛНИТЬ: дата; должна совпадать с пунктом 5.2 и договором счета эскроу]</w:t>
            </w:r>
          </w:p>
        </w:tc>
      </w:tr>
      <w:tr w14:paraId="40B18B41">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3E537101">
            <w:pPr>
              <w:keepNext w:val="0"/>
              <w:spacing w:after="20" w:line="240" w:lineRule="auto"/>
              <w:ind w:firstLine="0"/>
              <w:jc w:val="left"/>
            </w:pPr>
            <w:r>
              <w:rPr>
                <w:rFonts w:ascii="Times New Roman" w:hAnsi="Times New Roman" w:eastAsia="Times New Roman" w:cs="Times New Roman"/>
                <w:b w:val="0"/>
                <w:i w:val="0"/>
                <w:color w:val="000000"/>
                <w:sz w:val="20"/>
              </w:rPr>
              <w:t>Кредит и ипотека при их наличии</w:t>
            </w:r>
          </w:p>
        </w:tc>
        <w:tc>
          <w:tcPr>
            <w:tcW w:w="6066" w:type="dxa"/>
            <w:vAlign w:val="center"/>
          </w:tcPr>
          <w:p w14:paraId="1F318BAD">
            <w:pPr>
              <w:keepNext w:val="0"/>
              <w:spacing w:after="20" w:line="240" w:lineRule="auto"/>
              <w:ind w:firstLine="0"/>
              <w:jc w:val="left"/>
            </w:pPr>
            <w:r>
              <w:rPr>
                <w:rFonts w:ascii="Times New Roman" w:hAnsi="Times New Roman" w:eastAsia="Times New Roman" w:cs="Times New Roman"/>
                <w:b w:val="0"/>
                <w:i w:val="0"/>
                <w:color w:val="000000"/>
                <w:sz w:val="20"/>
                <w:highlight w:val="yellow"/>
              </w:rPr>
              <w:t>[ЗАПОЛНИТЬ: кредитор, сумма, реквизиты договора, предмет и порядок оформления залога прав требования / Квартиры; либо «не применяется»]</w:t>
            </w:r>
          </w:p>
        </w:tc>
      </w:tr>
      <w:tr w14:paraId="0F646AD7">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3855" w:type="dxa"/>
            <w:vAlign w:val="center"/>
          </w:tcPr>
          <w:p w14:paraId="3B4B835C">
            <w:pPr>
              <w:keepNext w:val="0"/>
              <w:spacing w:after="20" w:line="240" w:lineRule="auto"/>
              <w:ind w:firstLine="0"/>
              <w:jc w:val="left"/>
            </w:pPr>
            <w:r>
              <w:rPr>
                <w:rFonts w:ascii="Times New Roman" w:hAnsi="Times New Roman" w:eastAsia="Times New Roman" w:cs="Times New Roman"/>
                <w:b w:val="0"/>
                <w:i w:val="0"/>
                <w:color w:val="000000"/>
                <w:sz w:val="20"/>
              </w:rPr>
              <w:t>Возврат кредитных средств при прекращении ДДУ</w:t>
            </w:r>
          </w:p>
        </w:tc>
        <w:tc>
          <w:tcPr>
            <w:tcW w:w="6066" w:type="dxa"/>
            <w:vAlign w:val="center"/>
          </w:tcPr>
          <w:p w14:paraId="231EB790">
            <w:pPr>
              <w:keepNext w:val="0"/>
              <w:spacing w:after="20" w:line="240" w:lineRule="auto"/>
              <w:ind w:firstLine="0"/>
              <w:jc w:val="left"/>
            </w:pPr>
            <w:r>
              <w:rPr>
                <w:rFonts w:ascii="Times New Roman" w:hAnsi="Times New Roman" w:eastAsia="Times New Roman" w:cs="Times New Roman"/>
                <w:b w:val="0"/>
                <w:i w:val="0"/>
                <w:color w:val="000000"/>
                <w:sz w:val="20"/>
                <w:highlight w:val="yellow"/>
              </w:rPr>
              <w:t>[ЗАПОЛНИТЬ ПО ДОКУМЕНТАМ БАНКА: залоговый счет Участника и сведения о залогодержателе; либо «не применяется»]</w:t>
            </w:r>
          </w:p>
        </w:tc>
      </w:tr>
    </w:tbl>
    <w:p w14:paraId="1E715BFF">
      <w:pPr>
        <w:spacing w:before="0" w:after="0" w:line="40" w:lineRule="exact"/>
      </w:pPr>
    </w:p>
    <w:tbl>
      <w:tblPr>
        <w:tblStyle w:val="12"/>
        <w:tblW w:w="0" w:type="auto"/>
        <w:jc w:val="center"/>
        <w:tblBorders>
          <w:top w:val="none" w:color="808080" w:sz="4" w:space="0"/>
          <w:left w:val="none" w:color="808080" w:sz="4" w:space="0"/>
          <w:bottom w:val="none" w:color="808080" w:sz="4" w:space="0"/>
          <w:right w:val="none" w:color="808080" w:sz="4" w:space="0"/>
          <w:insideH w:val="none" w:color="808080" w:sz="4" w:space="0"/>
          <w:insideV w:val="none" w:color="808080" w:sz="4" w:space="0"/>
        </w:tblBorders>
        <w:tblLayout w:type="fixed"/>
        <w:tblCellMar>
          <w:top w:w="40" w:type="dxa"/>
          <w:left w:w="90" w:type="dxa"/>
          <w:bottom w:w="40" w:type="dxa"/>
          <w:right w:w="90" w:type="dxa"/>
        </w:tblCellMar>
      </w:tblPr>
      <w:tblGrid>
        <w:gridCol w:w="4961"/>
        <w:gridCol w:w="4961"/>
      </w:tblGrid>
      <w:tr w14:paraId="772DC316">
        <w:tblPrEx>
          <w:tblBorders>
            <w:top w:val="none" w:color="808080" w:sz="4" w:space="0"/>
            <w:left w:val="none" w:color="808080" w:sz="4" w:space="0"/>
            <w:bottom w:val="none" w:color="808080" w:sz="4" w:space="0"/>
            <w:right w:val="none" w:color="808080" w:sz="4" w:space="0"/>
            <w:insideH w:val="none" w:color="808080" w:sz="4" w:space="0"/>
            <w:insideV w:val="none" w:color="808080" w:sz="4" w:space="0"/>
          </w:tblBorders>
          <w:tblCellMar>
            <w:top w:w="40" w:type="dxa"/>
            <w:left w:w="90" w:type="dxa"/>
            <w:bottom w:w="40" w:type="dxa"/>
            <w:right w:w="90" w:type="dxa"/>
          </w:tblCellMar>
        </w:tblPrEx>
        <w:trPr>
          <w:cantSplit/>
          <w:tblHeader/>
          <w:jc w:val="center"/>
        </w:trPr>
        <w:tc>
          <w:tcPr>
            <w:tcW w:w="4961" w:type="dxa"/>
            <w:shd w:val="clear" w:color="auto" w:fill="EEEEEE"/>
            <w:vAlign w:val="center"/>
          </w:tcPr>
          <w:p w14:paraId="216F279E">
            <w:pPr>
              <w:spacing w:after="20" w:line="240" w:lineRule="auto"/>
              <w:ind w:firstLine="0"/>
              <w:jc w:val="left"/>
            </w:pPr>
            <w:r>
              <w:rPr>
                <w:rFonts w:ascii="Times New Roman" w:hAnsi="Times New Roman" w:eastAsia="Times New Roman" w:cs="Times New Roman"/>
                <w:b/>
                <w:i w:val="0"/>
                <w:color w:val="000000"/>
                <w:sz w:val="20"/>
              </w:rPr>
              <w:t>Застройщик</w:t>
            </w:r>
          </w:p>
        </w:tc>
        <w:tc>
          <w:tcPr>
            <w:tcW w:w="4961" w:type="dxa"/>
            <w:shd w:val="clear" w:color="auto" w:fill="EEEEEE"/>
            <w:vAlign w:val="center"/>
          </w:tcPr>
          <w:p w14:paraId="7C9816FB">
            <w:pPr>
              <w:spacing w:after="20" w:line="240" w:lineRule="auto"/>
              <w:ind w:firstLine="0"/>
              <w:jc w:val="left"/>
            </w:pPr>
            <w:r>
              <w:rPr>
                <w:rFonts w:ascii="Times New Roman" w:hAnsi="Times New Roman" w:eastAsia="Times New Roman" w:cs="Times New Roman"/>
                <w:b/>
                <w:i w:val="0"/>
                <w:color w:val="000000"/>
                <w:sz w:val="20"/>
              </w:rPr>
              <w:t>Участник</w:t>
            </w:r>
          </w:p>
        </w:tc>
      </w:tr>
      <w:tr w14:paraId="6451AEDD">
        <w:tblPrEx>
          <w:tblBorders>
            <w:top w:val="none" w:color="808080" w:sz="4" w:space="0"/>
            <w:left w:val="none" w:color="808080" w:sz="4" w:space="0"/>
            <w:bottom w:val="none" w:color="808080" w:sz="4" w:space="0"/>
            <w:right w:val="none" w:color="808080" w:sz="4" w:space="0"/>
            <w:insideH w:val="none" w:color="808080" w:sz="4" w:space="0"/>
            <w:insideV w:val="none" w:color="808080" w:sz="4" w:space="0"/>
          </w:tblBorders>
          <w:tblCellMar>
            <w:top w:w="40" w:type="dxa"/>
            <w:left w:w="90" w:type="dxa"/>
            <w:bottom w:w="40" w:type="dxa"/>
            <w:right w:w="90" w:type="dxa"/>
          </w:tblCellMar>
        </w:tblPrEx>
        <w:trPr>
          <w:cantSplit/>
          <w:jc w:val="center"/>
        </w:trPr>
        <w:tc>
          <w:tcPr>
            <w:tcW w:w="4961" w:type="dxa"/>
            <w:vAlign w:val="center"/>
          </w:tcPr>
          <w:p w14:paraId="0B08277E">
            <w:pPr>
              <w:spacing w:after="20" w:line="240" w:lineRule="auto"/>
              <w:ind w:firstLine="0"/>
              <w:jc w:val="left"/>
            </w:pPr>
            <w:r>
              <w:rPr>
                <w:rFonts w:ascii="Times New Roman" w:hAnsi="Times New Roman" w:eastAsia="Times New Roman" w:cs="Times New Roman"/>
                <w:b w:val="0"/>
                <w:i w:val="0"/>
                <w:color w:val="000000"/>
                <w:sz w:val="20"/>
              </w:rPr>
              <w:t>______________ / Терехова М. М. /</w:t>
            </w:r>
          </w:p>
        </w:tc>
        <w:tc>
          <w:tcPr>
            <w:tcW w:w="4961" w:type="dxa"/>
            <w:vAlign w:val="center"/>
          </w:tcPr>
          <w:p w14:paraId="756CECAB">
            <w:pPr>
              <w:spacing w:after="20" w:line="240" w:lineRule="auto"/>
              <w:ind w:firstLine="0"/>
              <w:jc w:val="left"/>
            </w:pPr>
            <w:r>
              <w:rPr>
                <w:rFonts w:ascii="Times New Roman" w:hAnsi="Times New Roman" w:eastAsia="Times New Roman" w:cs="Times New Roman"/>
                <w:b w:val="0"/>
                <w:i w:val="0"/>
                <w:color w:val="000000"/>
                <w:sz w:val="20"/>
              </w:rPr>
              <w:t xml:space="preserve">______________ / </w:t>
            </w:r>
            <w:r>
              <w:rPr>
                <w:rFonts w:ascii="Times New Roman" w:hAnsi="Times New Roman" w:eastAsia="Times New Roman" w:cs="Times New Roman"/>
                <w:b w:val="0"/>
                <w:i w:val="0"/>
                <w:color w:val="000000"/>
                <w:sz w:val="20"/>
                <w:highlight w:val="yellow"/>
              </w:rPr>
              <w:t>[Ф. И. О.]</w:t>
            </w:r>
            <w:r>
              <w:rPr>
                <w:rFonts w:ascii="Times New Roman" w:hAnsi="Times New Roman" w:eastAsia="Times New Roman" w:cs="Times New Roman"/>
                <w:b w:val="0"/>
                <w:i w:val="0"/>
                <w:color w:val="000000"/>
                <w:sz w:val="20"/>
              </w:rPr>
              <w:t xml:space="preserve"> /</w:t>
            </w:r>
          </w:p>
        </w:tc>
      </w:tr>
    </w:tbl>
    <w:p w14:paraId="1A8AE566">
      <w:pPr>
        <w:spacing w:before="0" w:after="0" w:line="40" w:lineRule="exact"/>
      </w:pPr>
    </w:p>
    <w:p w14:paraId="4C422F0E">
      <w:pPr>
        <w:keepNext/>
        <w:pageBreakBefore/>
        <w:jc w:val="right"/>
      </w:pPr>
      <w:r>
        <w:rPr>
          <w:rFonts w:ascii="Times New Roman" w:hAnsi="Times New Roman" w:eastAsia="Times New Roman" w:cs="Times New Roman"/>
          <w:b w:val="0"/>
          <w:i w:val="0"/>
          <w:color w:val="000000"/>
          <w:sz w:val="21"/>
        </w:rPr>
        <w:t>Приложение № 2</w:t>
      </w:r>
      <w:r>
        <w:rPr>
          <w:rFonts w:ascii="Times New Roman" w:hAnsi="Times New Roman" w:eastAsia="Times New Roman" w:cs="Times New Roman"/>
          <w:b w:val="0"/>
          <w:i w:val="0"/>
          <w:color w:val="000000"/>
          <w:sz w:val="21"/>
        </w:rPr>
        <w:br w:type="textWrapping"/>
      </w:r>
      <w:r>
        <w:rPr>
          <w:rFonts w:ascii="Times New Roman" w:hAnsi="Times New Roman" w:eastAsia="Times New Roman" w:cs="Times New Roman"/>
          <w:b w:val="0"/>
          <w:i w:val="0"/>
          <w:color w:val="000000"/>
          <w:sz w:val="21"/>
        </w:rPr>
        <w:t xml:space="preserve">к Договору участия в долевом строительстве № </w:t>
      </w:r>
      <w:r>
        <w:rPr>
          <w:rFonts w:ascii="Times New Roman" w:hAnsi="Times New Roman" w:eastAsia="Times New Roman" w:cs="Times New Roman"/>
          <w:b w:val="0"/>
          <w:i w:val="0"/>
          <w:color w:val="000000"/>
          <w:sz w:val="21"/>
          <w:highlight w:val="yellow"/>
        </w:rPr>
        <w:t>[НОМЕР]</w:t>
      </w:r>
      <w:r>
        <w:rPr>
          <w:rFonts w:ascii="Times New Roman" w:hAnsi="Times New Roman" w:eastAsia="Times New Roman" w:cs="Times New Roman"/>
          <w:b w:val="0"/>
          <w:i w:val="0"/>
          <w:color w:val="000000"/>
          <w:sz w:val="21"/>
        </w:rPr>
        <w:br w:type="textWrapping"/>
      </w:r>
      <w:r>
        <w:rPr>
          <w:rFonts w:ascii="Times New Roman" w:hAnsi="Times New Roman" w:eastAsia="Times New Roman" w:cs="Times New Roman"/>
          <w:b w:val="0"/>
          <w:i w:val="0"/>
          <w:color w:val="000000"/>
          <w:sz w:val="21"/>
        </w:rPr>
        <w:t xml:space="preserve">от </w:t>
      </w:r>
      <w:r>
        <w:rPr>
          <w:rFonts w:ascii="Times New Roman" w:hAnsi="Times New Roman" w:eastAsia="Times New Roman" w:cs="Times New Roman"/>
          <w:b w:val="0"/>
          <w:i w:val="0"/>
          <w:color w:val="000000"/>
          <w:sz w:val="21"/>
          <w:highlight w:val="yellow"/>
        </w:rPr>
        <w:t>[ДАТА]</w:t>
      </w:r>
    </w:p>
    <w:p w14:paraId="293C9188">
      <w:pPr>
        <w:keepNext/>
        <w:widowControl/>
        <w:spacing w:after="140" w:line="245" w:lineRule="auto"/>
        <w:ind w:firstLine="0"/>
        <w:jc w:val="center"/>
      </w:pPr>
      <w:r>
        <w:rPr>
          <w:rFonts w:ascii="Times New Roman" w:hAnsi="Times New Roman" w:eastAsia="Times New Roman" w:cs="Times New Roman"/>
          <w:b/>
          <w:i w:val="0"/>
          <w:color w:val="000000"/>
          <w:sz w:val="26"/>
        </w:rPr>
        <w:t>ПЛАН ОБЪЕКТА ДОЛЕВОГО СТРОИТЕЛЬСТВА</w:t>
      </w:r>
    </w:p>
    <w:p w14:paraId="4CFDC240">
      <w:pPr>
        <w:keepNext w:val="0"/>
        <w:widowControl/>
        <w:spacing w:after="60" w:line="245" w:lineRule="auto"/>
        <w:ind w:firstLine="340"/>
        <w:jc w:val="both"/>
      </w:pPr>
      <w:r>
        <w:rPr>
          <w:rFonts w:ascii="Times New Roman" w:hAnsi="Times New Roman" w:eastAsia="Times New Roman" w:cs="Times New Roman"/>
          <w:b w:val="0"/>
          <w:i w:val="0"/>
          <w:color w:val="000000"/>
          <w:sz w:val="22"/>
        </w:rPr>
        <w:t xml:space="preserve">Квартира № </w:t>
      </w:r>
      <w:r>
        <w:rPr>
          <w:rFonts w:ascii="Times New Roman" w:hAnsi="Times New Roman" w:eastAsia="Times New Roman" w:cs="Times New Roman"/>
          <w:b w:val="0"/>
          <w:i w:val="0"/>
          <w:color w:val="000000"/>
          <w:sz w:val="22"/>
          <w:highlight w:val="yellow"/>
        </w:rPr>
        <w:t>[ЗАПОЛНИТЬ]</w:t>
      </w:r>
      <w:r>
        <w:rPr>
          <w:rFonts w:ascii="Times New Roman" w:hAnsi="Times New Roman" w:eastAsia="Times New Roman" w:cs="Times New Roman"/>
          <w:b w:val="0"/>
          <w:i w:val="0"/>
          <w:color w:val="000000"/>
          <w:sz w:val="22"/>
        </w:rPr>
        <w:t xml:space="preserve">, корпус </w:t>
      </w:r>
      <w:r>
        <w:rPr>
          <w:rFonts w:ascii="Times New Roman" w:hAnsi="Times New Roman" w:eastAsia="Times New Roman" w:cs="Times New Roman"/>
          <w:b w:val="0"/>
          <w:i w:val="0"/>
          <w:color w:val="000000"/>
          <w:sz w:val="22"/>
          <w:highlight w:val="yellow"/>
        </w:rPr>
        <w:t>[ЗАПОЛНИТЬ]</w:t>
      </w:r>
      <w:r>
        <w:rPr>
          <w:rFonts w:ascii="Times New Roman" w:hAnsi="Times New Roman" w:eastAsia="Times New Roman" w:cs="Times New Roman"/>
          <w:b w:val="0"/>
          <w:i w:val="0"/>
          <w:color w:val="000000"/>
          <w:sz w:val="22"/>
        </w:rPr>
        <w:t xml:space="preserve">, секция </w:t>
      </w:r>
      <w:r>
        <w:rPr>
          <w:rFonts w:ascii="Times New Roman" w:hAnsi="Times New Roman" w:eastAsia="Times New Roman" w:cs="Times New Roman"/>
          <w:b w:val="0"/>
          <w:i w:val="0"/>
          <w:color w:val="000000"/>
          <w:sz w:val="22"/>
          <w:highlight w:val="yellow"/>
        </w:rPr>
        <w:t>[ЗАПОЛНИТЬ]</w:t>
      </w:r>
      <w:r>
        <w:rPr>
          <w:rFonts w:ascii="Times New Roman" w:hAnsi="Times New Roman" w:eastAsia="Times New Roman" w:cs="Times New Roman"/>
          <w:b w:val="0"/>
          <w:i w:val="0"/>
          <w:color w:val="000000"/>
          <w:sz w:val="22"/>
        </w:rPr>
        <w:t xml:space="preserve">, этаж / уровни </w:t>
      </w:r>
      <w:r>
        <w:rPr>
          <w:rFonts w:ascii="Times New Roman" w:hAnsi="Times New Roman" w:eastAsia="Times New Roman" w:cs="Times New Roman"/>
          <w:b w:val="0"/>
          <w:i w:val="0"/>
          <w:color w:val="000000"/>
          <w:sz w:val="22"/>
          <w:highlight w:val="yellow"/>
        </w:rPr>
        <w:t>[ЗАПОЛНИТЬ]</w:t>
      </w:r>
      <w:r>
        <w:rPr>
          <w:rFonts w:ascii="Times New Roman" w:hAnsi="Times New Roman" w:eastAsia="Times New Roman" w:cs="Times New Roman"/>
          <w:b w:val="0"/>
          <w:i w:val="0"/>
          <w:color w:val="000000"/>
          <w:sz w:val="22"/>
        </w:rPr>
        <w:t xml:space="preserve">. </w:t>
      </w:r>
    </w:p>
    <w:tbl>
      <w:tblPr>
        <w:tblStyle w:val="12"/>
        <w:tblW w:w="0" w:type="auto"/>
        <w:jc w:val="center"/>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40" w:type="dxa"/>
          <w:left w:w="90" w:type="dxa"/>
          <w:bottom w:w="40" w:type="dxa"/>
          <w:right w:w="90" w:type="dxa"/>
        </w:tblCellMar>
      </w:tblPr>
      <w:tblGrid>
        <w:gridCol w:w="9921"/>
      </w:tblGrid>
      <w:tr w14:paraId="2370EC2A">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trHeight w:val="3969" w:hRule="atLeast"/>
          <w:jc w:val="center"/>
        </w:trPr>
        <w:tc>
          <w:tcPr>
            <w:tcW w:w="9921" w:type="dxa"/>
            <w:vAlign w:val="center"/>
          </w:tcPr>
          <w:p w14:paraId="422A1BE1">
            <w:pPr>
              <w:spacing w:after="20" w:line="240" w:lineRule="auto"/>
              <w:ind w:firstLine="0"/>
              <w:jc w:val="center"/>
            </w:pPr>
            <w:r>
              <w:rPr>
                <w:rFonts w:ascii="Times New Roman" w:hAnsi="Times New Roman"/>
                <w:b w:val="0"/>
                <w:sz w:val="20"/>
                <w:highlight w:val="yellow"/>
              </w:rPr>
              <w:t>[ВСТАВИТЬ ПЛАН ВЫБРАННОЙ КВАРТИРЫ С ОБОЗНАЧЕНИЕМ ЕЕ РАСПОЛОЖЕНИЯ НА ЭТАЖЕ. ДЛЯ ДВУХУРОВНЕВОЙ КВАРТИРЫ — ОБА УРОВНЯ.]</w:t>
            </w:r>
          </w:p>
        </w:tc>
      </w:tr>
    </w:tbl>
    <w:p w14:paraId="40A3D89F">
      <w:pPr>
        <w:spacing w:before="0" w:after="0" w:line="40" w:lineRule="exact"/>
      </w:pPr>
    </w:p>
    <w:p w14:paraId="18EE9135">
      <w:pPr>
        <w:pStyle w:val="2"/>
        <w:keepNext/>
        <w:widowControl/>
        <w:spacing w:before="160" w:after="80" w:line="245" w:lineRule="auto"/>
        <w:ind w:firstLine="0"/>
        <w:jc w:val="left"/>
      </w:pPr>
      <w:r>
        <w:rPr>
          <w:rFonts w:ascii="Times New Roman" w:hAnsi="Times New Roman" w:eastAsia="Times New Roman" w:cs="Times New Roman"/>
          <w:b/>
          <w:i w:val="0"/>
          <w:color w:val="000000"/>
          <w:sz w:val="22"/>
        </w:rPr>
        <w:t>Экспликация помещений Квартиры</w:t>
      </w:r>
    </w:p>
    <w:tbl>
      <w:tblPr>
        <w:tblStyle w:val="12"/>
        <w:tblW w:w="0" w:type="auto"/>
        <w:jc w:val="center"/>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40" w:type="dxa"/>
          <w:left w:w="90" w:type="dxa"/>
          <w:bottom w:w="40" w:type="dxa"/>
          <w:right w:w="90" w:type="dxa"/>
        </w:tblCellMar>
      </w:tblPr>
      <w:tblGrid>
        <w:gridCol w:w="1247"/>
        <w:gridCol w:w="6690"/>
        <w:gridCol w:w="1984"/>
      </w:tblGrid>
      <w:tr w14:paraId="69002343">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tblHeader/>
          <w:jc w:val="center"/>
        </w:trPr>
        <w:tc>
          <w:tcPr>
            <w:tcW w:w="1247" w:type="dxa"/>
            <w:shd w:val="clear" w:color="auto" w:fill="EEEEEE"/>
            <w:vAlign w:val="center"/>
          </w:tcPr>
          <w:p w14:paraId="335A979C">
            <w:pPr>
              <w:keepNext w:val="0"/>
              <w:spacing w:after="20" w:line="240" w:lineRule="auto"/>
              <w:ind w:firstLine="0"/>
              <w:jc w:val="left"/>
            </w:pPr>
            <w:r>
              <w:rPr>
                <w:rFonts w:ascii="Times New Roman" w:hAnsi="Times New Roman" w:eastAsia="Times New Roman" w:cs="Times New Roman"/>
                <w:b/>
                <w:i w:val="0"/>
                <w:color w:val="000000"/>
                <w:sz w:val="20"/>
              </w:rPr>
              <w:t>№ на плане</w:t>
            </w:r>
          </w:p>
        </w:tc>
        <w:tc>
          <w:tcPr>
            <w:tcW w:w="6690" w:type="dxa"/>
            <w:shd w:val="clear" w:color="auto" w:fill="EEEEEE"/>
            <w:vAlign w:val="center"/>
          </w:tcPr>
          <w:p w14:paraId="4EED6974">
            <w:pPr>
              <w:keepNext w:val="0"/>
              <w:spacing w:after="20" w:line="240" w:lineRule="auto"/>
              <w:ind w:firstLine="0"/>
              <w:jc w:val="left"/>
            </w:pPr>
            <w:r>
              <w:rPr>
                <w:rFonts w:ascii="Times New Roman" w:hAnsi="Times New Roman" w:eastAsia="Times New Roman" w:cs="Times New Roman"/>
                <w:b/>
                <w:i w:val="0"/>
                <w:color w:val="000000"/>
                <w:sz w:val="20"/>
              </w:rPr>
              <w:t>Помещение / уровень</w:t>
            </w:r>
          </w:p>
        </w:tc>
        <w:tc>
          <w:tcPr>
            <w:tcW w:w="1984" w:type="dxa"/>
            <w:shd w:val="clear" w:color="auto" w:fill="EEEEEE"/>
            <w:vAlign w:val="center"/>
          </w:tcPr>
          <w:p w14:paraId="57749501">
            <w:pPr>
              <w:keepNext w:val="0"/>
              <w:spacing w:after="20" w:line="240" w:lineRule="auto"/>
              <w:ind w:firstLine="0"/>
              <w:jc w:val="left"/>
            </w:pPr>
            <w:r>
              <w:rPr>
                <w:rFonts w:ascii="Times New Roman" w:hAnsi="Times New Roman" w:eastAsia="Times New Roman" w:cs="Times New Roman"/>
                <w:b/>
                <w:i w:val="0"/>
                <w:color w:val="000000"/>
                <w:sz w:val="20"/>
              </w:rPr>
              <w:t>Площадь, кв. м</w:t>
            </w:r>
          </w:p>
        </w:tc>
      </w:tr>
      <w:tr w14:paraId="37D3EA5F">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1247" w:type="dxa"/>
            <w:vAlign w:val="center"/>
          </w:tcPr>
          <w:p w14:paraId="6302ED01">
            <w:pPr>
              <w:keepNext w:val="0"/>
              <w:spacing w:after="20" w:line="240" w:lineRule="auto"/>
              <w:ind w:firstLine="0"/>
              <w:jc w:val="left"/>
            </w:pPr>
            <w:r>
              <w:rPr>
                <w:highlight w:val="yellow"/>
              </w:rPr>
              <w:t>[№]</w:t>
            </w:r>
          </w:p>
        </w:tc>
        <w:tc>
          <w:tcPr>
            <w:tcW w:w="6690" w:type="dxa"/>
            <w:vAlign w:val="center"/>
          </w:tcPr>
          <w:p w14:paraId="3FB793E4">
            <w:pPr>
              <w:keepNext w:val="0"/>
              <w:spacing w:after="20" w:line="240" w:lineRule="auto"/>
              <w:ind w:firstLine="0"/>
              <w:jc w:val="left"/>
            </w:pPr>
            <w:r>
              <w:rPr>
                <w:rFonts w:ascii="Times New Roman" w:hAnsi="Times New Roman" w:eastAsia="Times New Roman" w:cs="Times New Roman"/>
                <w:b w:val="0"/>
                <w:i w:val="0"/>
                <w:color w:val="000000"/>
                <w:sz w:val="20"/>
                <w:highlight w:val="yellow"/>
              </w:rPr>
              <w:t>[ЗАПОЛНИТЬ: каждая жилая комната]</w:t>
            </w:r>
          </w:p>
        </w:tc>
        <w:tc>
          <w:tcPr>
            <w:tcW w:w="1984" w:type="dxa"/>
            <w:vAlign w:val="center"/>
          </w:tcPr>
          <w:p w14:paraId="37BF2874">
            <w:pPr>
              <w:keepNext w:val="0"/>
              <w:spacing w:after="20" w:line="240" w:lineRule="auto"/>
              <w:ind w:firstLine="0"/>
              <w:jc w:val="left"/>
            </w:pPr>
            <w:r>
              <w:rPr>
                <w:rFonts w:ascii="Times New Roman" w:hAnsi="Times New Roman" w:eastAsia="Times New Roman" w:cs="Times New Roman"/>
                <w:b w:val="0"/>
                <w:i w:val="0"/>
                <w:color w:val="000000"/>
                <w:sz w:val="20"/>
                <w:highlight w:val="yellow"/>
              </w:rPr>
              <w:t>[ЗАПОЛНИТЬ]</w:t>
            </w:r>
          </w:p>
        </w:tc>
      </w:tr>
      <w:tr w14:paraId="03F8C54F">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1247" w:type="dxa"/>
            <w:vAlign w:val="center"/>
          </w:tcPr>
          <w:p w14:paraId="39A3D2B8">
            <w:pPr>
              <w:keepNext w:val="0"/>
              <w:spacing w:after="20" w:line="240" w:lineRule="auto"/>
              <w:ind w:firstLine="0"/>
              <w:jc w:val="left"/>
            </w:pPr>
            <w:r>
              <w:rPr>
                <w:highlight w:val="yellow"/>
              </w:rPr>
              <w:t>[№]</w:t>
            </w:r>
          </w:p>
        </w:tc>
        <w:tc>
          <w:tcPr>
            <w:tcW w:w="6690" w:type="dxa"/>
            <w:vAlign w:val="center"/>
          </w:tcPr>
          <w:p w14:paraId="42EE3FAE">
            <w:pPr>
              <w:keepNext w:val="0"/>
              <w:spacing w:after="20" w:line="240" w:lineRule="auto"/>
              <w:ind w:firstLine="0"/>
              <w:jc w:val="left"/>
            </w:pPr>
            <w:r>
              <w:rPr>
                <w:rFonts w:ascii="Times New Roman" w:hAnsi="Times New Roman" w:eastAsia="Times New Roman" w:cs="Times New Roman"/>
                <w:b w:val="0"/>
                <w:i w:val="0"/>
                <w:color w:val="000000"/>
                <w:sz w:val="20"/>
                <w:highlight w:val="yellow"/>
              </w:rPr>
              <w:t>[ЗАПОЛНИТЬ: каждое помещение вспомогательного использования]</w:t>
            </w:r>
          </w:p>
        </w:tc>
        <w:tc>
          <w:tcPr>
            <w:tcW w:w="1984" w:type="dxa"/>
            <w:vAlign w:val="center"/>
          </w:tcPr>
          <w:p w14:paraId="6A4A33E3">
            <w:pPr>
              <w:keepNext w:val="0"/>
              <w:spacing w:after="20" w:line="240" w:lineRule="auto"/>
              <w:ind w:firstLine="0"/>
              <w:jc w:val="left"/>
            </w:pPr>
            <w:r>
              <w:rPr>
                <w:rFonts w:ascii="Times New Roman" w:hAnsi="Times New Roman" w:eastAsia="Times New Roman" w:cs="Times New Roman"/>
                <w:b w:val="0"/>
                <w:i w:val="0"/>
                <w:color w:val="000000"/>
                <w:sz w:val="20"/>
                <w:highlight w:val="yellow"/>
              </w:rPr>
              <w:t>[ЗАПОЛНИТЬ]</w:t>
            </w:r>
          </w:p>
        </w:tc>
      </w:tr>
      <w:tr w14:paraId="3A128D58">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1247" w:type="dxa"/>
            <w:vAlign w:val="center"/>
          </w:tcPr>
          <w:p w14:paraId="6A68B671">
            <w:pPr>
              <w:keepNext w:val="0"/>
              <w:spacing w:after="20" w:line="240" w:lineRule="auto"/>
              <w:ind w:firstLine="0"/>
              <w:jc w:val="left"/>
            </w:pPr>
            <w:r>
              <w:rPr>
                <w:highlight w:val="yellow"/>
              </w:rPr>
              <w:t>[№]</w:t>
            </w:r>
          </w:p>
        </w:tc>
        <w:tc>
          <w:tcPr>
            <w:tcW w:w="6690" w:type="dxa"/>
            <w:vAlign w:val="center"/>
          </w:tcPr>
          <w:p w14:paraId="088D1091">
            <w:pPr>
              <w:keepNext w:val="0"/>
              <w:spacing w:after="20" w:line="240" w:lineRule="auto"/>
              <w:ind w:firstLine="0"/>
              <w:jc w:val="left"/>
            </w:pPr>
            <w:r>
              <w:rPr>
                <w:rFonts w:ascii="Times New Roman" w:hAnsi="Times New Roman" w:eastAsia="Times New Roman" w:cs="Times New Roman"/>
                <w:b w:val="0"/>
                <w:i w:val="0"/>
                <w:color w:val="000000"/>
                <w:sz w:val="20"/>
                <w:highlight w:val="yellow"/>
              </w:rPr>
              <w:t>[ЗАПОЛНИТЬ: каждое Летнее помещение; полная геометрическая площадь]</w:t>
            </w:r>
          </w:p>
        </w:tc>
        <w:tc>
          <w:tcPr>
            <w:tcW w:w="1984" w:type="dxa"/>
            <w:vAlign w:val="center"/>
          </w:tcPr>
          <w:p w14:paraId="6C9CE8A0">
            <w:pPr>
              <w:keepNext w:val="0"/>
              <w:spacing w:after="20" w:line="240" w:lineRule="auto"/>
              <w:ind w:firstLine="0"/>
              <w:jc w:val="left"/>
            </w:pPr>
            <w:r>
              <w:rPr>
                <w:rFonts w:ascii="Times New Roman" w:hAnsi="Times New Roman" w:eastAsia="Times New Roman" w:cs="Times New Roman"/>
                <w:b w:val="0"/>
                <w:i w:val="0"/>
                <w:color w:val="000000"/>
                <w:sz w:val="20"/>
                <w:highlight w:val="yellow"/>
              </w:rPr>
              <w:t>[ЗАПОЛНИТЬ]</w:t>
            </w:r>
          </w:p>
        </w:tc>
      </w:tr>
    </w:tbl>
    <w:p w14:paraId="1A8DEC22">
      <w:pPr>
        <w:spacing w:before="0" w:after="0" w:line="40" w:lineRule="exact"/>
      </w:pPr>
    </w:p>
    <w:tbl>
      <w:tblPr>
        <w:tblStyle w:val="12"/>
        <w:tblW w:w="0" w:type="auto"/>
        <w:jc w:val="center"/>
        <w:tblBorders>
          <w:top w:val="none" w:color="808080" w:sz="4" w:space="0"/>
          <w:left w:val="none" w:color="808080" w:sz="4" w:space="0"/>
          <w:bottom w:val="none" w:color="808080" w:sz="4" w:space="0"/>
          <w:right w:val="none" w:color="808080" w:sz="4" w:space="0"/>
          <w:insideH w:val="none" w:color="808080" w:sz="4" w:space="0"/>
          <w:insideV w:val="none" w:color="808080" w:sz="4" w:space="0"/>
        </w:tblBorders>
        <w:tblLayout w:type="fixed"/>
        <w:tblCellMar>
          <w:top w:w="40" w:type="dxa"/>
          <w:left w:w="90" w:type="dxa"/>
          <w:bottom w:w="40" w:type="dxa"/>
          <w:right w:w="90" w:type="dxa"/>
        </w:tblCellMar>
      </w:tblPr>
      <w:tblGrid>
        <w:gridCol w:w="4961"/>
        <w:gridCol w:w="4961"/>
      </w:tblGrid>
      <w:tr w14:paraId="5E905890">
        <w:tblPrEx>
          <w:tblBorders>
            <w:top w:val="none" w:color="808080" w:sz="4" w:space="0"/>
            <w:left w:val="none" w:color="808080" w:sz="4" w:space="0"/>
            <w:bottom w:val="none" w:color="808080" w:sz="4" w:space="0"/>
            <w:right w:val="none" w:color="808080" w:sz="4" w:space="0"/>
            <w:insideH w:val="none" w:color="808080" w:sz="4" w:space="0"/>
            <w:insideV w:val="none" w:color="808080" w:sz="4" w:space="0"/>
          </w:tblBorders>
          <w:tblCellMar>
            <w:top w:w="40" w:type="dxa"/>
            <w:left w:w="90" w:type="dxa"/>
            <w:bottom w:w="40" w:type="dxa"/>
            <w:right w:w="90" w:type="dxa"/>
          </w:tblCellMar>
        </w:tblPrEx>
        <w:trPr>
          <w:cantSplit/>
          <w:tblHeader/>
          <w:jc w:val="center"/>
        </w:trPr>
        <w:tc>
          <w:tcPr>
            <w:tcW w:w="4961" w:type="dxa"/>
            <w:shd w:val="clear" w:color="auto" w:fill="EEEEEE"/>
            <w:vAlign w:val="center"/>
          </w:tcPr>
          <w:p w14:paraId="7B986FD8">
            <w:pPr>
              <w:spacing w:after="20" w:line="240" w:lineRule="auto"/>
              <w:ind w:firstLine="0"/>
              <w:jc w:val="left"/>
            </w:pPr>
            <w:r>
              <w:rPr>
                <w:rFonts w:ascii="Times New Roman" w:hAnsi="Times New Roman" w:eastAsia="Times New Roman" w:cs="Times New Roman"/>
                <w:b/>
                <w:i w:val="0"/>
                <w:color w:val="000000"/>
                <w:sz w:val="20"/>
              </w:rPr>
              <w:t>Застройщик</w:t>
            </w:r>
          </w:p>
        </w:tc>
        <w:tc>
          <w:tcPr>
            <w:tcW w:w="4961" w:type="dxa"/>
            <w:shd w:val="clear" w:color="auto" w:fill="EEEEEE"/>
            <w:vAlign w:val="center"/>
          </w:tcPr>
          <w:p w14:paraId="32E992B2">
            <w:pPr>
              <w:spacing w:after="20" w:line="240" w:lineRule="auto"/>
              <w:ind w:firstLine="0"/>
              <w:jc w:val="left"/>
            </w:pPr>
            <w:r>
              <w:rPr>
                <w:rFonts w:ascii="Times New Roman" w:hAnsi="Times New Roman" w:eastAsia="Times New Roman" w:cs="Times New Roman"/>
                <w:b/>
                <w:i w:val="0"/>
                <w:color w:val="000000"/>
                <w:sz w:val="20"/>
              </w:rPr>
              <w:t>Участник</w:t>
            </w:r>
          </w:p>
        </w:tc>
      </w:tr>
      <w:tr w14:paraId="4C2485C4">
        <w:tblPrEx>
          <w:tblBorders>
            <w:top w:val="none" w:color="808080" w:sz="4" w:space="0"/>
            <w:left w:val="none" w:color="808080" w:sz="4" w:space="0"/>
            <w:bottom w:val="none" w:color="808080" w:sz="4" w:space="0"/>
            <w:right w:val="none" w:color="808080" w:sz="4" w:space="0"/>
            <w:insideH w:val="none" w:color="808080" w:sz="4" w:space="0"/>
            <w:insideV w:val="none" w:color="808080" w:sz="4" w:space="0"/>
          </w:tblBorders>
          <w:tblCellMar>
            <w:top w:w="40" w:type="dxa"/>
            <w:left w:w="90" w:type="dxa"/>
            <w:bottom w:w="40" w:type="dxa"/>
            <w:right w:w="90" w:type="dxa"/>
          </w:tblCellMar>
        </w:tblPrEx>
        <w:trPr>
          <w:cantSplit/>
          <w:jc w:val="center"/>
        </w:trPr>
        <w:tc>
          <w:tcPr>
            <w:tcW w:w="4961" w:type="dxa"/>
            <w:vAlign w:val="center"/>
          </w:tcPr>
          <w:p w14:paraId="71CFA660">
            <w:pPr>
              <w:spacing w:after="20" w:line="240" w:lineRule="auto"/>
              <w:ind w:firstLine="0"/>
              <w:jc w:val="left"/>
            </w:pPr>
            <w:r>
              <w:rPr>
                <w:rFonts w:ascii="Times New Roman" w:hAnsi="Times New Roman" w:eastAsia="Times New Roman" w:cs="Times New Roman"/>
                <w:b w:val="0"/>
                <w:i w:val="0"/>
                <w:color w:val="000000"/>
                <w:sz w:val="20"/>
              </w:rPr>
              <w:t>______________ / Терехова М. М. /</w:t>
            </w:r>
          </w:p>
        </w:tc>
        <w:tc>
          <w:tcPr>
            <w:tcW w:w="4961" w:type="dxa"/>
            <w:vAlign w:val="center"/>
          </w:tcPr>
          <w:p w14:paraId="31BFA8A0">
            <w:pPr>
              <w:spacing w:after="20" w:line="240" w:lineRule="auto"/>
              <w:ind w:firstLine="0"/>
              <w:jc w:val="left"/>
            </w:pPr>
            <w:r>
              <w:rPr>
                <w:rFonts w:ascii="Times New Roman" w:hAnsi="Times New Roman" w:eastAsia="Times New Roman" w:cs="Times New Roman"/>
                <w:b w:val="0"/>
                <w:i w:val="0"/>
                <w:color w:val="000000"/>
                <w:sz w:val="20"/>
              </w:rPr>
              <w:t xml:space="preserve">______________ / </w:t>
            </w:r>
            <w:r>
              <w:rPr>
                <w:rFonts w:ascii="Times New Roman" w:hAnsi="Times New Roman" w:eastAsia="Times New Roman" w:cs="Times New Roman"/>
                <w:b w:val="0"/>
                <w:i w:val="0"/>
                <w:color w:val="000000"/>
                <w:sz w:val="20"/>
                <w:highlight w:val="yellow"/>
              </w:rPr>
              <w:t>[Ф. И. О.]</w:t>
            </w:r>
            <w:r>
              <w:rPr>
                <w:rFonts w:ascii="Times New Roman" w:hAnsi="Times New Roman" w:eastAsia="Times New Roman" w:cs="Times New Roman"/>
                <w:b w:val="0"/>
                <w:i w:val="0"/>
                <w:color w:val="000000"/>
                <w:sz w:val="20"/>
              </w:rPr>
              <w:t xml:space="preserve"> /</w:t>
            </w:r>
          </w:p>
        </w:tc>
      </w:tr>
    </w:tbl>
    <w:p w14:paraId="300CB704">
      <w:pPr>
        <w:spacing w:before="0" w:after="0" w:line="40" w:lineRule="exact"/>
      </w:pPr>
    </w:p>
    <w:p w14:paraId="157AA813">
      <w:pPr>
        <w:keepNext/>
        <w:pageBreakBefore/>
        <w:jc w:val="right"/>
      </w:pPr>
      <w:r>
        <w:rPr>
          <w:rFonts w:ascii="Times New Roman" w:hAnsi="Times New Roman" w:eastAsia="Times New Roman" w:cs="Times New Roman"/>
          <w:b w:val="0"/>
          <w:i w:val="0"/>
          <w:color w:val="000000"/>
          <w:sz w:val="21"/>
        </w:rPr>
        <w:t>Приложение № 3</w:t>
      </w:r>
      <w:r>
        <w:rPr>
          <w:rFonts w:ascii="Times New Roman" w:hAnsi="Times New Roman" w:eastAsia="Times New Roman" w:cs="Times New Roman"/>
          <w:b w:val="0"/>
          <w:i w:val="0"/>
          <w:color w:val="000000"/>
          <w:sz w:val="21"/>
        </w:rPr>
        <w:br w:type="textWrapping"/>
      </w:r>
      <w:r>
        <w:rPr>
          <w:rFonts w:ascii="Times New Roman" w:hAnsi="Times New Roman" w:eastAsia="Times New Roman" w:cs="Times New Roman"/>
          <w:b w:val="0"/>
          <w:i w:val="0"/>
          <w:color w:val="000000"/>
          <w:sz w:val="21"/>
        </w:rPr>
        <w:t xml:space="preserve">к Договору участия в долевом строительстве № </w:t>
      </w:r>
      <w:r>
        <w:rPr>
          <w:rFonts w:ascii="Times New Roman" w:hAnsi="Times New Roman" w:eastAsia="Times New Roman" w:cs="Times New Roman"/>
          <w:b w:val="0"/>
          <w:i w:val="0"/>
          <w:color w:val="000000"/>
          <w:sz w:val="21"/>
          <w:highlight w:val="yellow"/>
        </w:rPr>
        <w:t>[НОМЕР]</w:t>
      </w:r>
      <w:r>
        <w:rPr>
          <w:rFonts w:ascii="Times New Roman" w:hAnsi="Times New Roman" w:eastAsia="Times New Roman" w:cs="Times New Roman"/>
          <w:b w:val="0"/>
          <w:i w:val="0"/>
          <w:color w:val="000000"/>
          <w:sz w:val="21"/>
        </w:rPr>
        <w:br w:type="textWrapping"/>
      </w:r>
      <w:r>
        <w:rPr>
          <w:rFonts w:ascii="Times New Roman" w:hAnsi="Times New Roman" w:eastAsia="Times New Roman" w:cs="Times New Roman"/>
          <w:b w:val="0"/>
          <w:i w:val="0"/>
          <w:color w:val="000000"/>
          <w:sz w:val="21"/>
        </w:rPr>
        <w:t xml:space="preserve">от </w:t>
      </w:r>
      <w:r>
        <w:rPr>
          <w:rFonts w:ascii="Times New Roman" w:hAnsi="Times New Roman" w:eastAsia="Times New Roman" w:cs="Times New Roman"/>
          <w:b w:val="0"/>
          <w:i w:val="0"/>
          <w:color w:val="000000"/>
          <w:sz w:val="21"/>
          <w:highlight w:val="yellow"/>
        </w:rPr>
        <w:t>[ДАТА]</w:t>
      </w:r>
    </w:p>
    <w:p w14:paraId="1E2E1DAA">
      <w:pPr>
        <w:keepNext/>
        <w:widowControl/>
        <w:spacing w:after="140" w:line="245" w:lineRule="auto"/>
        <w:ind w:firstLine="0"/>
        <w:jc w:val="center"/>
      </w:pPr>
      <w:r>
        <w:rPr>
          <w:rFonts w:ascii="Times New Roman" w:hAnsi="Times New Roman" w:eastAsia="Times New Roman" w:cs="Times New Roman"/>
          <w:b/>
          <w:i w:val="0"/>
          <w:color w:val="000000"/>
          <w:sz w:val="26"/>
        </w:rPr>
        <w:t>СОСТАВ ПЕРЕДАВАЕМОГО ОБЪЕКТА И СТЕПЕНЬ ГОТОВНОСТИ</w:t>
      </w:r>
    </w:p>
    <w:tbl>
      <w:tblPr>
        <w:tblStyle w:val="12"/>
        <w:tblW w:w="0" w:type="auto"/>
        <w:jc w:val="center"/>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40" w:type="dxa"/>
          <w:left w:w="90" w:type="dxa"/>
          <w:bottom w:w="40" w:type="dxa"/>
          <w:right w:w="90" w:type="dxa"/>
        </w:tblCellMar>
      </w:tblPr>
      <w:tblGrid>
        <w:gridCol w:w="2665"/>
        <w:gridCol w:w="7257"/>
      </w:tblGrid>
      <w:tr w14:paraId="19E79A82">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tblHeader/>
          <w:jc w:val="center"/>
        </w:trPr>
        <w:tc>
          <w:tcPr>
            <w:tcW w:w="2665" w:type="dxa"/>
            <w:shd w:val="clear" w:color="auto" w:fill="EEEEEE"/>
            <w:vAlign w:val="center"/>
          </w:tcPr>
          <w:p w14:paraId="4AF55DEB">
            <w:pPr>
              <w:keepNext w:val="0"/>
              <w:spacing w:after="20" w:line="240" w:lineRule="auto"/>
              <w:ind w:firstLine="0"/>
              <w:jc w:val="left"/>
            </w:pPr>
            <w:r>
              <w:rPr>
                <w:rFonts w:ascii="Times New Roman" w:hAnsi="Times New Roman" w:eastAsia="Times New Roman" w:cs="Times New Roman"/>
                <w:b/>
                <w:i w:val="0"/>
                <w:color w:val="000000"/>
                <w:sz w:val="20"/>
              </w:rPr>
              <w:t>Элемент</w:t>
            </w:r>
          </w:p>
        </w:tc>
        <w:tc>
          <w:tcPr>
            <w:tcW w:w="7257" w:type="dxa"/>
            <w:shd w:val="clear" w:color="auto" w:fill="EEEEEE"/>
            <w:vAlign w:val="center"/>
          </w:tcPr>
          <w:p w14:paraId="6D104E55">
            <w:pPr>
              <w:keepNext w:val="0"/>
              <w:spacing w:after="20" w:line="240" w:lineRule="auto"/>
              <w:ind w:firstLine="0"/>
              <w:jc w:val="left"/>
            </w:pPr>
            <w:r>
              <w:rPr>
                <w:rFonts w:ascii="Times New Roman" w:hAnsi="Times New Roman" w:eastAsia="Times New Roman" w:cs="Times New Roman"/>
                <w:b/>
                <w:i w:val="0"/>
                <w:color w:val="000000"/>
                <w:sz w:val="20"/>
              </w:rPr>
              <w:t>Состав и условие передачи</w:t>
            </w:r>
          </w:p>
        </w:tc>
      </w:tr>
      <w:tr w14:paraId="1E1652AA">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2665" w:type="dxa"/>
            <w:vAlign w:val="center"/>
          </w:tcPr>
          <w:p w14:paraId="7952637B">
            <w:pPr>
              <w:keepNext w:val="0"/>
              <w:spacing w:after="20" w:line="240" w:lineRule="auto"/>
              <w:ind w:firstLine="0"/>
              <w:jc w:val="left"/>
            </w:pPr>
            <w:r>
              <w:rPr>
                <w:rFonts w:ascii="Times New Roman" w:hAnsi="Times New Roman" w:eastAsia="Times New Roman" w:cs="Times New Roman"/>
                <w:b w:val="0"/>
                <w:i w:val="0"/>
                <w:color w:val="000000"/>
                <w:sz w:val="20"/>
              </w:rPr>
              <w:t>Общее условие</w:t>
            </w:r>
          </w:p>
        </w:tc>
        <w:tc>
          <w:tcPr>
            <w:tcW w:w="7257" w:type="dxa"/>
            <w:vAlign w:val="center"/>
          </w:tcPr>
          <w:p w14:paraId="588BFE53">
            <w:pPr>
              <w:keepNext w:val="0"/>
              <w:spacing w:after="20" w:line="240" w:lineRule="auto"/>
              <w:ind w:firstLine="0"/>
              <w:jc w:val="left"/>
            </w:pPr>
            <w:r>
              <w:rPr>
                <w:rFonts w:eastAsia="Times New Roman" w:cs="Times New Roman"/>
                <w:b w:val="0"/>
                <w:i w:val="0"/>
                <w:color w:val="000000"/>
                <w:sz w:val="20"/>
                <w:lang w:val="ru-RU"/>
              </w:rPr>
              <w:t>Квартира передается без чистовой и финишной отделки, в составе согласно настоящему Приложению и утвержденной проектной документации. Дополнительные работы, материалы и оборудование, не предусмотренные Договором, проектом и обязательными требованиями, в состав передачи и Цену Договора не входят. Выбор и равнозначная замена материалов и оборудования осуществляются Застройщиком по разделам 9 и 14 Договора.</w:t>
            </w:r>
          </w:p>
        </w:tc>
      </w:tr>
      <w:tr w14:paraId="017F751E">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2665" w:type="dxa"/>
            <w:vAlign w:val="center"/>
          </w:tcPr>
          <w:p w14:paraId="34640AFB">
            <w:pPr>
              <w:keepNext w:val="0"/>
              <w:spacing w:after="20" w:line="240" w:lineRule="auto"/>
              <w:ind w:firstLine="0"/>
              <w:jc w:val="left"/>
            </w:pPr>
            <w:r>
              <w:rPr>
                <w:rFonts w:ascii="Times New Roman" w:hAnsi="Times New Roman" w:eastAsia="Times New Roman" w:cs="Times New Roman"/>
                <w:b w:val="0"/>
                <w:i w:val="0"/>
                <w:color w:val="000000"/>
                <w:sz w:val="20"/>
              </w:rPr>
              <w:t>Несущие и ограждающие конструкции</w:t>
            </w:r>
          </w:p>
        </w:tc>
        <w:tc>
          <w:tcPr>
            <w:tcW w:w="7257" w:type="dxa"/>
            <w:vAlign w:val="center"/>
          </w:tcPr>
          <w:p w14:paraId="230AB826">
            <w:pPr>
              <w:keepNext w:val="0"/>
              <w:spacing w:after="20" w:line="240" w:lineRule="auto"/>
              <w:ind w:firstLine="0"/>
              <w:jc w:val="left"/>
            </w:pPr>
            <w:r>
              <w:rPr>
                <w:rFonts w:ascii="Times New Roman" w:hAnsi="Times New Roman" w:eastAsia="Times New Roman" w:cs="Times New Roman"/>
                <w:b w:val="0"/>
                <w:i w:val="0"/>
                <w:color w:val="000000"/>
                <w:sz w:val="20"/>
              </w:rPr>
              <w:t>Монолитный железобетонный каркас и монолитные железобетонные перекрытия; наружные стены с заполнением керамическими камнями / кирпичом, утеплением и наружной отделкой по проекту.</w:t>
            </w:r>
          </w:p>
        </w:tc>
      </w:tr>
      <w:tr w14:paraId="36D8DE87">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2665" w:type="dxa"/>
            <w:vAlign w:val="center"/>
          </w:tcPr>
          <w:p w14:paraId="68510FEC">
            <w:pPr>
              <w:keepNext w:val="0"/>
              <w:spacing w:after="20" w:line="240" w:lineRule="auto"/>
              <w:ind w:firstLine="0"/>
              <w:jc w:val="left"/>
            </w:pPr>
            <w:r>
              <w:rPr>
                <w:rFonts w:ascii="Times New Roman" w:hAnsi="Times New Roman" w:eastAsia="Times New Roman" w:cs="Times New Roman"/>
                <w:b w:val="0"/>
                <w:i w:val="0"/>
                <w:color w:val="000000"/>
                <w:sz w:val="20"/>
              </w:rPr>
              <w:t>Внутриквартирные перегородки</w:t>
            </w:r>
          </w:p>
        </w:tc>
        <w:tc>
          <w:tcPr>
            <w:tcW w:w="7257" w:type="dxa"/>
            <w:vAlign w:val="center"/>
          </w:tcPr>
          <w:p w14:paraId="19E824EA">
            <w:pPr>
              <w:keepNext w:val="0"/>
              <w:spacing w:after="20" w:line="240" w:lineRule="auto"/>
              <w:ind w:firstLine="0"/>
              <w:jc w:val="left"/>
            </w:pPr>
            <w:r>
              <w:rPr>
                <w:rFonts w:ascii="Times New Roman" w:hAnsi="Times New Roman" w:eastAsia="Times New Roman" w:cs="Times New Roman"/>
                <w:b w:val="0"/>
                <w:i w:val="0"/>
                <w:color w:val="000000"/>
                <w:sz w:val="20"/>
              </w:rPr>
              <w:t>Керамические камни / кирпич в соответствии с проектной документацией. Состав, расположение и проемы — по плану выбранной Квартиры с допустимыми строительными отклонениями.</w:t>
            </w:r>
          </w:p>
        </w:tc>
      </w:tr>
      <w:tr w14:paraId="7B9BC74B">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2665" w:type="dxa"/>
            <w:vAlign w:val="center"/>
          </w:tcPr>
          <w:p w14:paraId="53420E6C">
            <w:pPr>
              <w:keepNext w:val="0"/>
              <w:spacing w:after="20" w:line="240" w:lineRule="auto"/>
              <w:ind w:firstLine="0"/>
              <w:jc w:val="left"/>
            </w:pPr>
            <w:r>
              <w:rPr>
                <w:rFonts w:ascii="Times New Roman" w:hAnsi="Times New Roman" w:eastAsia="Times New Roman" w:cs="Times New Roman"/>
                <w:b w:val="0"/>
                <w:i w:val="0"/>
                <w:color w:val="000000"/>
                <w:sz w:val="20"/>
              </w:rPr>
              <w:t>Стены жилых комнат, кухни и коридора</w:t>
            </w:r>
          </w:p>
        </w:tc>
        <w:tc>
          <w:tcPr>
            <w:tcW w:w="7257" w:type="dxa"/>
            <w:vAlign w:val="center"/>
          </w:tcPr>
          <w:p w14:paraId="1F210BC0">
            <w:pPr>
              <w:keepNext w:val="0"/>
              <w:spacing w:after="20" w:line="240" w:lineRule="auto"/>
              <w:ind w:firstLine="0"/>
              <w:jc w:val="left"/>
            </w:pPr>
            <w:r>
              <w:rPr>
                <w:rFonts w:eastAsia="Times New Roman" w:cs="Times New Roman"/>
                <w:b w:val="0"/>
                <w:i w:val="0"/>
                <w:color w:val="000000"/>
                <w:sz w:val="20"/>
                <w:lang w:val="ru-RU"/>
              </w:rPr>
              <w:t>Штукатурка в объеме и исполнении, предусмотренных утвержденной проектной документацией. Декоративные покрытия и подготовка под индивидуально выбранное чистовое покрытие не предусмотрены.</w:t>
            </w:r>
          </w:p>
        </w:tc>
      </w:tr>
      <w:tr w14:paraId="398B129C">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2665" w:type="dxa"/>
            <w:vAlign w:val="center"/>
          </w:tcPr>
          <w:p w14:paraId="0992A9EF">
            <w:pPr>
              <w:keepNext w:val="0"/>
              <w:spacing w:after="20" w:line="240" w:lineRule="auto"/>
              <w:ind w:firstLine="0"/>
              <w:jc w:val="left"/>
            </w:pPr>
            <w:r>
              <w:rPr>
                <w:rFonts w:ascii="Times New Roman" w:hAnsi="Times New Roman" w:eastAsia="Times New Roman" w:cs="Times New Roman"/>
                <w:b w:val="0"/>
                <w:i w:val="0"/>
                <w:color w:val="000000"/>
                <w:sz w:val="20"/>
              </w:rPr>
              <w:t>Стены санитарных узлов и лоджий</w:t>
            </w:r>
          </w:p>
        </w:tc>
        <w:tc>
          <w:tcPr>
            <w:tcW w:w="7257" w:type="dxa"/>
            <w:vAlign w:val="center"/>
          </w:tcPr>
          <w:p w14:paraId="5C3F9BFC">
            <w:pPr>
              <w:keepNext w:val="0"/>
              <w:spacing w:after="20" w:line="240" w:lineRule="auto"/>
              <w:ind w:firstLine="0"/>
              <w:jc w:val="left"/>
            </w:pPr>
            <w:r>
              <w:rPr>
                <w:rFonts w:ascii="Times New Roman" w:hAnsi="Times New Roman" w:eastAsia="Times New Roman" w:cs="Times New Roman"/>
                <w:b w:val="0"/>
                <w:i w:val="0"/>
                <w:color w:val="000000"/>
                <w:sz w:val="20"/>
              </w:rPr>
              <w:t>Влагостойкая штукатурка в объеме проектной документации; без чистовых облицовочных покрытий.</w:t>
            </w:r>
          </w:p>
        </w:tc>
      </w:tr>
      <w:tr w14:paraId="25CA97C7">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2665" w:type="dxa"/>
            <w:vAlign w:val="center"/>
          </w:tcPr>
          <w:p w14:paraId="3AD5A67E">
            <w:pPr>
              <w:keepNext w:val="0"/>
              <w:spacing w:after="20" w:line="240" w:lineRule="auto"/>
              <w:ind w:firstLine="0"/>
              <w:jc w:val="left"/>
            </w:pPr>
            <w:r>
              <w:rPr>
                <w:rFonts w:ascii="Times New Roman" w:hAnsi="Times New Roman" w:eastAsia="Times New Roman" w:cs="Times New Roman"/>
                <w:b w:val="0"/>
                <w:i w:val="0"/>
                <w:color w:val="000000"/>
                <w:sz w:val="20"/>
              </w:rPr>
              <w:t>Потолки</w:t>
            </w:r>
          </w:p>
        </w:tc>
        <w:tc>
          <w:tcPr>
            <w:tcW w:w="7257" w:type="dxa"/>
            <w:vAlign w:val="center"/>
          </w:tcPr>
          <w:p w14:paraId="7065AB94">
            <w:pPr>
              <w:keepNext w:val="0"/>
              <w:spacing w:after="20" w:line="240" w:lineRule="auto"/>
              <w:ind w:firstLine="0"/>
              <w:jc w:val="left"/>
            </w:pPr>
            <w:r>
              <w:rPr>
                <w:rFonts w:ascii="Times New Roman" w:hAnsi="Times New Roman" w:eastAsia="Times New Roman" w:cs="Times New Roman"/>
                <w:b w:val="0"/>
                <w:i w:val="0"/>
                <w:color w:val="000000"/>
                <w:sz w:val="20"/>
              </w:rPr>
              <w:t>Без отделки. Геометрия и наличие наклонных участков в двухуровневых и верхних квартирах — по индивидуальному плану и проекту.</w:t>
            </w:r>
          </w:p>
        </w:tc>
      </w:tr>
      <w:tr w14:paraId="1C4C1E60">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2665" w:type="dxa"/>
            <w:vAlign w:val="center"/>
          </w:tcPr>
          <w:p w14:paraId="2075F1CB">
            <w:pPr>
              <w:keepNext w:val="0"/>
              <w:spacing w:after="20" w:line="240" w:lineRule="auto"/>
              <w:ind w:firstLine="0"/>
              <w:jc w:val="left"/>
            </w:pPr>
            <w:r>
              <w:rPr>
                <w:rFonts w:ascii="Times New Roman" w:hAnsi="Times New Roman" w:eastAsia="Times New Roman" w:cs="Times New Roman"/>
                <w:b w:val="0"/>
                <w:i w:val="0"/>
                <w:color w:val="000000"/>
                <w:sz w:val="20"/>
              </w:rPr>
              <w:t>Полы</w:t>
            </w:r>
          </w:p>
        </w:tc>
        <w:tc>
          <w:tcPr>
            <w:tcW w:w="7257" w:type="dxa"/>
            <w:vAlign w:val="center"/>
          </w:tcPr>
          <w:p w14:paraId="0DDDF3B1">
            <w:pPr>
              <w:keepNext w:val="0"/>
              <w:spacing w:after="20" w:line="240" w:lineRule="auto"/>
              <w:ind w:firstLine="0"/>
              <w:jc w:val="left"/>
            </w:pPr>
            <w:r>
              <w:rPr>
                <w:rFonts w:ascii="Times New Roman" w:hAnsi="Times New Roman" w:eastAsia="Times New Roman" w:cs="Times New Roman"/>
                <w:b w:val="0"/>
                <w:i w:val="0"/>
                <w:color w:val="000000"/>
                <w:sz w:val="20"/>
              </w:rPr>
              <w:t>Выравнивающая цементно-песчаная стяжка по проектным звукоизоляционным слоям. В санитарных узлах выполняется предусмотренная проектом гид</w:t>
            </w:r>
            <w:bookmarkStart w:id="0" w:name="_GoBack"/>
            <w:bookmarkEnd w:id="0"/>
            <w:r>
              <w:rPr>
                <w:rFonts w:ascii="Times New Roman" w:hAnsi="Times New Roman" w:eastAsia="Times New Roman" w:cs="Times New Roman"/>
                <w:b w:val="0"/>
                <w:i w:val="0"/>
                <w:color w:val="000000"/>
                <w:sz w:val="20"/>
              </w:rPr>
              <w:t>роизоляция. Чистовые напольные покрытия не входят в состав передачи.</w:t>
            </w:r>
          </w:p>
        </w:tc>
      </w:tr>
      <w:tr w14:paraId="365A0C15">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2665" w:type="dxa"/>
            <w:vAlign w:val="center"/>
          </w:tcPr>
          <w:p w14:paraId="334CA9BD">
            <w:pPr>
              <w:keepNext w:val="0"/>
              <w:spacing w:after="20" w:line="240" w:lineRule="auto"/>
              <w:ind w:firstLine="0"/>
              <w:jc w:val="left"/>
            </w:pPr>
            <w:r>
              <w:rPr>
                <w:rFonts w:ascii="Times New Roman" w:hAnsi="Times New Roman" w:eastAsia="Times New Roman" w:cs="Times New Roman"/>
                <w:b w:val="0"/>
                <w:i w:val="0"/>
                <w:color w:val="000000"/>
                <w:sz w:val="20"/>
              </w:rPr>
              <w:t>Оконные блоки и двери выхода в Летние помещения</w:t>
            </w:r>
          </w:p>
        </w:tc>
        <w:tc>
          <w:tcPr>
            <w:tcW w:w="7257" w:type="dxa"/>
            <w:vAlign w:val="center"/>
          </w:tcPr>
          <w:p w14:paraId="6CC207D2">
            <w:pPr>
              <w:keepNext w:val="0"/>
              <w:spacing w:after="20" w:line="240" w:lineRule="auto"/>
              <w:ind w:firstLine="0"/>
              <w:jc w:val="left"/>
            </w:pPr>
            <w:r>
              <w:rPr>
                <w:rFonts w:ascii="Times New Roman" w:hAnsi="Times New Roman"/>
                <w:b w:val="0"/>
                <w:sz w:val="22"/>
              </w:rPr>
              <w:t>Оконные и балконные блоки с предусмотренными проектом характеристиками звукоизоляции, теплозащиты, воздухообмена и безопасности. Конструкция, остекление, открывание и комплектация, включая легкосбрасываемое исполнение в предусмотренных проектом местах, — по проектной документации для соответствующей Квартиры.</w:t>
            </w:r>
          </w:p>
        </w:tc>
      </w:tr>
      <w:tr w14:paraId="16EB5E85">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2665" w:type="dxa"/>
            <w:vAlign w:val="center"/>
          </w:tcPr>
          <w:p w14:paraId="04F8ED3F">
            <w:pPr>
              <w:keepNext w:val="0"/>
              <w:spacing w:after="20" w:line="240" w:lineRule="auto"/>
              <w:ind w:firstLine="0"/>
              <w:jc w:val="left"/>
            </w:pPr>
            <w:r>
              <w:rPr>
                <w:rFonts w:ascii="Times New Roman" w:hAnsi="Times New Roman" w:eastAsia="Times New Roman" w:cs="Times New Roman"/>
                <w:b w:val="0"/>
                <w:i w:val="0"/>
                <w:color w:val="000000"/>
                <w:sz w:val="20"/>
              </w:rPr>
              <w:t>Входная дверь в Квартиру</w:t>
            </w:r>
          </w:p>
        </w:tc>
        <w:tc>
          <w:tcPr>
            <w:tcW w:w="7257" w:type="dxa"/>
            <w:vAlign w:val="center"/>
          </w:tcPr>
          <w:p w14:paraId="4E4D3D3F">
            <w:pPr>
              <w:keepNext w:val="0"/>
              <w:spacing w:after="20" w:line="240" w:lineRule="auto"/>
              <w:ind w:firstLine="0"/>
              <w:jc w:val="left"/>
            </w:pPr>
            <w:r>
              <w:rPr>
                <w:rFonts w:ascii="Times New Roman" w:hAnsi="Times New Roman"/>
                <w:b w:val="0"/>
                <w:sz w:val="22"/>
              </w:rPr>
              <w:t>Входной дверной блок с характеристиками и комплектацией по утвержденной проектной документации. Марка, модель и производитель определяются Застройщиком в порядке разделов 9 и 14 Договора.</w:t>
            </w:r>
          </w:p>
        </w:tc>
      </w:tr>
      <w:tr w14:paraId="54299DF5">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2665" w:type="dxa"/>
            <w:vAlign w:val="center"/>
          </w:tcPr>
          <w:p w14:paraId="1EC4CF5B">
            <w:pPr>
              <w:keepNext w:val="0"/>
              <w:spacing w:after="20" w:line="240" w:lineRule="auto"/>
              <w:ind w:firstLine="0"/>
              <w:jc w:val="left"/>
            </w:pPr>
            <w:r>
              <w:rPr>
                <w:rFonts w:ascii="Times New Roman" w:hAnsi="Times New Roman" w:eastAsia="Times New Roman" w:cs="Times New Roman"/>
                <w:b w:val="0"/>
                <w:i w:val="0"/>
                <w:color w:val="000000"/>
                <w:sz w:val="20"/>
              </w:rPr>
              <w:t>Межкомнатные двери</w:t>
            </w:r>
          </w:p>
        </w:tc>
        <w:tc>
          <w:tcPr>
            <w:tcW w:w="7257" w:type="dxa"/>
            <w:vAlign w:val="center"/>
          </w:tcPr>
          <w:p w14:paraId="0D0759C7">
            <w:pPr>
              <w:keepNext w:val="0"/>
              <w:spacing w:after="20" w:line="240" w:lineRule="auto"/>
              <w:ind w:firstLine="0"/>
              <w:jc w:val="left"/>
              <w:rPr>
                <w:rFonts w:hint="default"/>
                <w:lang w:val="ru-RU"/>
              </w:rPr>
            </w:pPr>
            <w:r>
              <w:rPr>
                <w:rFonts w:eastAsia="Times New Roman" w:cs="Times New Roman"/>
                <w:b w:val="0"/>
                <w:i w:val="0"/>
                <w:color w:val="000000"/>
                <w:sz w:val="20"/>
                <w:highlight w:val="none"/>
                <w:lang w:val="ru-RU"/>
              </w:rPr>
              <w:t>Не</w:t>
            </w:r>
            <w:r>
              <w:rPr>
                <w:rFonts w:hint="default" w:eastAsia="Times New Roman" w:cs="Times New Roman"/>
                <w:b w:val="0"/>
                <w:i w:val="0"/>
                <w:color w:val="000000"/>
                <w:sz w:val="20"/>
                <w:highlight w:val="none"/>
                <w:lang w:val="ru-RU"/>
              </w:rPr>
              <w:t xml:space="preserve"> устанавливаются</w:t>
            </w:r>
          </w:p>
        </w:tc>
      </w:tr>
      <w:tr w14:paraId="709252FA">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2665" w:type="dxa"/>
            <w:vAlign w:val="center"/>
          </w:tcPr>
          <w:p w14:paraId="3E318889">
            <w:pPr>
              <w:keepNext w:val="0"/>
              <w:spacing w:after="20" w:line="240" w:lineRule="auto"/>
              <w:ind w:firstLine="0"/>
              <w:jc w:val="left"/>
            </w:pPr>
            <w:r>
              <w:rPr>
                <w:rFonts w:ascii="Times New Roman" w:hAnsi="Times New Roman" w:eastAsia="Times New Roman" w:cs="Times New Roman"/>
                <w:b w:val="0"/>
                <w:i w:val="0"/>
                <w:color w:val="000000"/>
                <w:sz w:val="20"/>
              </w:rPr>
              <w:t>Электроснабжение и учет</w:t>
            </w:r>
          </w:p>
        </w:tc>
        <w:tc>
          <w:tcPr>
            <w:tcW w:w="7257" w:type="dxa"/>
            <w:vAlign w:val="center"/>
          </w:tcPr>
          <w:p w14:paraId="42385983">
            <w:pPr>
              <w:keepNext w:val="0"/>
              <w:spacing w:after="20" w:line="240" w:lineRule="auto"/>
              <w:ind w:firstLine="0"/>
              <w:jc w:val="left"/>
            </w:pPr>
            <w:r>
              <w:rPr>
                <w:rFonts w:ascii="Times New Roman" w:hAnsi="Times New Roman" w:eastAsia="Times New Roman" w:cs="Times New Roman"/>
                <w:b w:val="0"/>
                <w:i w:val="0"/>
                <w:color w:val="000000"/>
                <w:sz w:val="20"/>
              </w:rPr>
              <w:t>Система электроснабжения Квартиры выполняется по утвержденному разделу ИОС.ЭС.</w:t>
            </w:r>
          </w:p>
        </w:tc>
      </w:tr>
      <w:tr w14:paraId="519A003E">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2665" w:type="dxa"/>
            <w:vAlign w:val="center"/>
          </w:tcPr>
          <w:p w14:paraId="40C82D57">
            <w:pPr>
              <w:keepNext w:val="0"/>
              <w:spacing w:after="20" w:line="240" w:lineRule="auto"/>
              <w:ind w:firstLine="0"/>
              <w:jc w:val="left"/>
            </w:pPr>
            <w:r>
              <w:rPr>
                <w:rFonts w:ascii="Times New Roman" w:hAnsi="Times New Roman" w:eastAsia="Times New Roman" w:cs="Times New Roman"/>
                <w:b w:val="0"/>
                <w:i w:val="0"/>
                <w:color w:val="000000"/>
                <w:sz w:val="20"/>
              </w:rPr>
              <w:t>Холодное водоснабжение и канализация</w:t>
            </w:r>
          </w:p>
        </w:tc>
        <w:tc>
          <w:tcPr>
            <w:tcW w:w="7257" w:type="dxa"/>
            <w:vAlign w:val="center"/>
          </w:tcPr>
          <w:p w14:paraId="090DC12D">
            <w:pPr>
              <w:keepNext w:val="0"/>
              <w:spacing w:after="20" w:line="240" w:lineRule="auto"/>
              <w:ind w:firstLine="0"/>
              <w:jc w:val="left"/>
            </w:pPr>
            <w:r>
              <w:rPr>
                <w:rFonts w:ascii="Times New Roman" w:hAnsi="Times New Roman" w:eastAsia="Times New Roman" w:cs="Times New Roman"/>
                <w:b w:val="0"/>
                <w:i w:val="0"/>
                <w:color w:val="000000"/>
                <w:sz w:val="20"/>
              </w:rPr>
              <w:t xml:space="preserve">Подключение к внутридомовым системам и выполнение предусмотренных проектом сетей. </w:t>
            </w:r>
          </w:p>
        </w:tc>
      </w:tr>
      <w:tr w14:paraId="62112EA1">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2665" w:type="dxa"/>
            <w:vAlign w:val="center"/>
          </w:tcPr>
          <w:p w14:paraId="41B41E41">
            <w:pPr>
              <w:keepNext w:val="0"/>
              <w:spacing w:after="20" w:line="240" w:lineRule="auto"/>
              <w:ind w:firstLine="0"/>
              <w:jc w:val="left"/>
            </w:pPr>
            <w:r>
              <w:rPr>
                <w:rFonts w:ascii="Times New Roman" w:hAnsi="Times New Roman" w:eastAsia="Times New Roman" w:cs="Times New Roman"/>
                <w:b w:val="0"/>
                <w:i w:val="0"/>
                <w:color w:val="000000"/>
                <w:sz w:val="20"/>
              </w:rPr>
              <w:t>Теплоснабжение и горячее водоснабжение</w:t>
            </w:r>
          </w:p>
        </w:tc>
        <w:tc>
          <w:tcPr>
            <w:tcW w:w="7257" w:type="dxa"/>
            <w:vAlign w:val="center"/>
          </w:tcPr>
          <w:p w14:paraId="42C8DE0B">
            <w:pPr>
              <w:keepNext w:val="0"/>
              <w:spacing w:after="20" w:line="240" w:lineRule="auto"/>
              <w:ind w:firstLine="0"/>
              <w:jc w:val="left"/>
            </w:pPr>
            <w:r>
              <w:rPr>
                <w:rFonts w:ascii="Times New Roman" w:hAnsi="Times New Roman" w:eastAsia="Times New Roman" w:cs="Times New Roman"/>
                <w:b w:val="0"/>
                <w:i w:val="0"/>
                <w:color w:val="000000"/>
                <w:sz w:val="20"/>
              </w:rPr>
              <w:t>Источник теплоснабжения — крышные котельные Дома. Приготовление горячей воды для Квартиры — квартирный тепловой пункт (КТП). Индивидуальный двухконтурный газовый котел в Квартире не устанавливается.</w:t>
            </w:r>
          </w:p>
        </w:tc>
      </w:tr>
      <w:tr w14:paraId="214AC379">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2665" w:type="dxa"/>
            <w:vAlign w:val="center"/>
          </w:tcPr>
          <w:p w14:paraId="25DE5028">
            <w:pPr>
              <w:keepNext w:val="0"/>
              <w:spacing w:after="20" w:line="240" w:lineRule="auto"/>
              <w:ind w:firstLine="0"/>
              <w:jc w:val="left"/>
            </w:pPr>
            <w:r>
              <w:rPr>
                <w:rFonts w:ascii="Times New Roman" w:hAnsi="Times New Roman" w:eastAsia="Times New Roman" w:cs="Times New Roman"/>
                <w:b w:val="0"/>
                <w:i w:val="0"/>
                <w:color w:val="000000"/>
                <w:sz w:val="20"/>
              </w:rPr>
              <w:t>Отопительные приборы и разводка</w:t>
            </w:r>
          </w:p>
        </w:tc>
        <w:tc>
          <w:tcPr>
            <w:tcW w:w="7257" w:type="dxa"/>
            <w:vAlign w:val="center"/>
          </w:tcPr>
          <w:p w14:paraId="7955181F">
            <w:pPr>
              <w:keepNext w:val="0"/>
              <w:spacing w:after="20" w:line="240" w:lineRule="auto"/>
              <w:ind w:firstLine="0"/>
              <w:jc w:val="left"/>
            </w:pPr>
            <w:r>
              <w:rPr>
                <w:rFonts w:ascii="Times New Roman" w:hAnsi="Times New Roman" w:eastAsia="Times New Roman" w:cs="Times New Roman"/>
                <w:b w:val="0"/>
                <w:i w:val="0"/>
                <w:color w:val="000000"/>
                <w:sz w:val="20"/>
              </w:rPr>
              <w:t>Приборы отопления и разводка выполняются в составе, количестве и местах, предусмотренных утвержденной проектной документацией для соответствующей Квартиры. Дополнительные приборы и зоны отопления, не предусмотренные проектом, не устанавливаются.</w:t>
            </w:r>
          </w:p>
        </w:tc>
      </w:tr>
      <w:tr w14:paraId="34B06652">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2665" w:type="dxa"/>
            <w:vAlign w:val="center"/>
          </w:tcPr>
          <w:p w14:paraId="43324F58">
            <w:pPr>
              <w:keepNext w:val="0"/>
              <w:spacing w:after="20" w:line="240" w:lineRule="auto"/>
              <w:ind w:firstLine="0"/>
              <w:jc w:val="left"/>
            </w:pPr>
            <w:r>
              <w:rPr>
                <w:rFonts w:ascii="Times New Roman" w:hAnsi="Times New Roman" w:eastAsia="Times New Roman" w:cs="Times New Roman"/>
                <w:b w:val="0"/>
                <w:i w:val="0"/>
                <w:color w:val="000000"/>
                <w:sz w:val="20"/>
              </w:rPr>
              <w:t>Вентиляция</w:t>
            </w:r>
          </w:p>
        </w:tc>
        <w:tc>
          <w:tcPr>
            <w:tcW w:w="7257" w:type="dxa"/>
            <w:vAlign w:val="center"/>
          </w:tcPr>
          <w:p w14:paraId="476DA980">
            <w:pPr>
              <w:keepNext w:val="0"/>
              <w:spacing w:after="20" w:line="240" w:lineRule="auto"/>
              <w:ind w:firstLine="0"/>
              <w:jc w:val="left"/>
            </w:pPr>
            <w:r>
              <w:rPr>
                <w:rFonts w:ascii="Times New Roman" w:hAnsi="Times New Roman"/>
                <w:b w:val="0"/>
                <w:sz w:val="22"/>
              </w:rPr>
              <w:t>Вентиляционные каналы и приточные устройства в составе и с характеристиками, предусмотренными утвержденной проектной документацией. Самовольное изменение каналов и нарушение проектного притока воздуха не допускаются.</w:t>
            </w:r>
          </w:p>
        </w:tc>
      </w:tr>
      <w:tr w14:paraId="170620D6">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2665" w:type="dxa"/>
            <w:vAlign w:val="center"/>
          </w:tcPr>
          <w:p w14:paraId="08536CC4">
            <w:pPr>
              <w:keepNext w:val="0"/>
              <w:spacing w:after="20" w:line="240" w:lineRule="auto"/>
              <w:ind w:firstLine="0"/>
              <w:jc w:val="left"/>
            </w:pPr>
            <w:r>
              <w:rPr>
                <w:rFonts w:ascii="Times New Roman" w:hAnsi="Times New Roman" w:eastAsia="Times New Roman" w:cs="Times New Roman"/>
                <w:b w:val="0"/>
                <w:i w:val="0"/>
                <w:color w:val="000000"/>
                <w:sz w:val="20"/>
              </w:rPr>
              <w:t>Связь, Интернет, телевидение, домофон</w:t>
            </w:r>
          </w:p>
        </w:tc>
        <w:tc>
          <w:tcPr>
            <w:tcW w:w="7257" w:type="dxa"/>
            <w:vAlign w:val="center"/>
          </w:tcPr>
          <w:p w14:paraId="17DAF2FD">
            <w:pPr>
              <w:keepNext w:val="0"/>
              <w:spacing w:after="20" w:line="240" w:lineRule="auto"/>
              <w:ind w:firstLine="0"/>
              <w:jc w:val="left"/>
            </w:pPr>
            <w:r>
              <w:rPr>
                <w:rFonts w:ascii="Times New Roman" w:hAnsi="Times New Roman" w:eastAsia="Times New Roman" w:cs="Times New Roman"/>
                <w:b w:val="0"/>
                <w:i w:val="0"/>
                <w:color w:val="000000"/>
                <w:sz w:val="20"/>
              </w:rPr>
              <w:t>В объеме утвержденного проекта сетей связи. Абонентские услуги связи оформляются пользователем отдельно.</w:t>
            </w:r>
          </w:p>
        </w:tc>
      </w:tr>
      <w:tr w14:paraId="232141B3">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2665" w:type="dxa"/>
            <w:vAlign w:val="center"/>
          </w:tcPr>
          <w:p w14:paraId="4AEEAB7D">
            <w:pPr>
              <w:keepNext w:val="0"/>
              <w:spacing w:after="20" w:line="240" w:lineRule="auto"/>
              <w:ind w:firstLine="0"/>
              <w:jc w:val="left"/>
            </w:pPr>
            <w:r>
              <w:rPr>
                <w:rFonts w:ascii="Times New Roman" w:hAnsi="Times New Roman" w:eastAsia="Times New Roman" w:cs="Times New Roman"/>
                <w:b w:val="0"/>
                <w:i w:val="0"/>
                <w:color w:val="000000"/>
                <w:sz w:val="20"/>
              </w:rPr>
              <w:t>Балконы, лоджии и террасы</w:t>
            </w:r>
          </w:p>
        </w:tc>
        <w:tc>
          <w:tcPr>
            <w:tcW w:w="7257" w:type="dxa"/>
            <w:vAlign w:val="center"/>
          </w:tcPr>
          <w:p w14:paraId="73CEA871">
            <w:pPr>
              <w:keepNext w:val="0"/>
              <w:spacing w:after="20" w:line="240" w:lineRule="auto"/>
              <w:ind w:firstLine="0"/>
              <w:jc w:val="left"/>
            </w:pPr>
            <w:r>
              <w:rPr>
                <w:rFonts w:ascii="Times New Roman" w:hAnsi="Times New Roman" w:eastAsia="Times New Roman" w:cs="Times New Roman"/>
                <w:b w:val="0"/>
                <w:i w:val="0"/>
                <w:color w:val="000000"/>
                <w:sz w:val="20"/>
              </w:rPr>
              <w:t xml:space="preserve">Только при наличии по Приложениям № 1 и № 2. Ограждения, остекление, покрытия, гидроизоляция и водоотведение — </w:t>
            </w:r>
            <w:r>
              <w:rPr>
                <w:rFonts w:eastAsia="Times New Roman" w:cs="Times New Roman"/>
                <w:b w:val="0"/>
                <w:i w:val="0"/>
                <w:color w:val="000000"/>
                <w:sz w:val="20"/>
                <w:lang w:val="ru-RU"/>
              </w:rPr>
              <w:t>согласно</w:t>
            </w:r>
            <w:r>
              <w:rPr>
                <w:rFonts w:hint="default" w:eastAsia="Times New Roman" w:cs="Times New Roman"/>
                <w:b w:val="0"/>
                <w:i w:val="0"/>
                <w:color w:val="000000"/>
                <w:sz w:val="20"/>
                <w:lang w:val="ru-RU"/>
              </w:rPr>
              <w:t xml:space="preserve"> проектной документации</w:t>
            </w:r>
            <w:r>
              <w:rPr>
                <w:rFonts w:ascii="Times New Roman" w:hAnsi="Times New Roman" w:eastAsia="Times New Roman" w:cs="Times New Roman"/>
                <w:b w:val="0"/>
                <w:i w:val="0"/>
                <w:color w:val="000000"/>
                <w:sz w:val="20"/>
              </w:rPr>
              <w:t xml:space="preserve">. </w:t>
            </w:r>
          </w:p>
        </w:tc>
      </w:tr>
      <w:tr w14:paraId="21392459">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2665" w:type="dxa"/>
            <w:vAlign w:val="center"/>
          </w:tcPr>
          <w:p w14:paraId="1AC7AE81">
            <w:pPr>
              <w:keepNext w:val="0"/>
              <w:spacing w:after="20" w:line="240" w:lineRule="auto"/>
              <w:ind w:firstLine="0"/>
              <w:jc w:val="left"/>
            </w:pPr>
            <w:r>
              <w:rPr>
                <w:rFonts w:ascii="Times New Roman" w:hAnsi="Times New Roman" w:eastAsia="Times New Roman" w:cs="Times New Roman"/>
                <w:b w:val="0"/>
                <w:i w:val="0"/>
                <w:color w:val="000000"/>
                <w:sz w:val="20"/>
              </w:rPr>
              <w:t>Два уровня, антресоль и внутриквартирная лестница</w:t>
            </w:r>
          </w:p>
        </w:tc>
        <w:tc>
          <w:tcPr>
            <w:tcW w:w="7257" w:type="dxa"/>
            <w:vAlign w:val="center"/>
          </w:tcPr>
          <w:p w14:paraId="5E6FCF63">
            <w:pPr>
              <w:keepNext w:val="0"/>
              <w:spacing w:after="20" w:line="240" w:lineRule="auto"/>
              <w:ind w:firstLine="0"/>
              <w:jc w:val="left"/>
            </w:pPr>
            <w:r>
              <w:rPr>
                <w:rFonts w:ascii="Times New Roman" w:hAnsi="Times New Roman" w:eastAsia="Times New Roman" w:cs="Times New Roman"/>
                <w:b w:val="0"/>
                <w:i w:val="0"/>
                <w:color w:val="000000"/>
                <w:sz w:val="20"/>
              </w:rPr>
              <w:t>Только для Квартиры, имеющей два уровня и (или) антресоль по Приложениям № 1 и № 2. Конструкции, лестница, ограждения и инженерное обеспечение — в объеме и исполнении утвержденной проектной документации. Дополнительная декоративная отделка не предусмотрена, если она прямо не включена в проектный состав передачи.</w:t>
            </w:r>
          </w:p>
        </w:tc>
      </w:tr>
      <w:tr w14:paraId="55D77DF4">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2665" w:type="dxa"/>
            <w:vAlign w:val="center"/>
          </w:tcPr>
          <w:p w14:paraId="50C7B8A6">
            <w:pPr>
              <w:keepNext w:val="0"/>
              <w:spacing w:after="20" w:line="240" w:lineRule="auto"/>
              <w:ind w:firstLine="0"/>
              <w:jc w:val="left"/>
            </w:pPr>
            <w:r>
              <w:rPr>
                <w:rFonts w:ascii="Times New Roman" w:hAnsi="Times New Roman" w:eastAsia="Times New Roman" w:cs="Times New Roman"/>
                <w:b w:val="0"/>
                <w:i w:val="0"/>
                <w:color w:val="000000"/>
                <w:sz w:val="20"/>
              </w:rPr>
              <w:t>Санитарно-технические приборы, мебель и бытовая техника</w:t>
            </w:r>
          </w:p>
        </w:tc>
        <w:tc>
          <w:tcPr>
            <w:tcW w:w="7257" w:type="dxa"/>
            <w:vAlign w:val="center"/>
          </w:tcPr>
          <w:p w14:paraId="0E747E48">
            <w:pPr>
              <w:keepNext w:val="0"/>
              <w:spacing w:after="20" w:line="240" w:lineRule="auto"/>
              <w:ind w:firstLine="0"/>
              <w:jc w:val="left"/>
              <w:rPr>
                <w:rFonts w:hint="default"/>
                <w:lang w:val="ru-RU"/>
              </w:rPr>
            </w:pPr>
            <w:r>
              <w:rPr>
                <w:rFonts w:ascii="Times New Roman" w:hAnsi="Times New Roman" w:eastAsia="Times New Roman" w:cs="Times New Roman"/>
                <w:b w:val="0"/>
                <w:i w:val="0"/>
                <w:color w:val="000000"/>
                <w:sz w:val="20"/>
              </w:rPr>
              <w:t>Состав устанавливаемых санитарно-технических приборов определяется утвержденной проектной документацией для Квартиры. Не предусмотренные проектом дополнительные приборы не устанавливаются. Мебель и бытовая техника не включаются.</w:t>
            </w:r>
          </w:p>
        </w:tc>
      </w:tr>
      <w:tr w14:paraId="5FD6AAE2">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2665" w:type="dxa"/>
            <w:vAlign w:val="center"/>
          </w:tcPr>
          <w:p w14:paraId="4DD429AF">
            <w:pPr>
              <w:keepNext w:val="0"/>
              <w:spacing w:after="20" w:line="240" w:lineRule="auto"/>
              <w:ind w:firstLine="0"/>
              <w:jc w:val="left"/>
            </w:pPr>
            <w:r>
              <w:rPr>
                <w:rFonts w:ascii="Times New Roman" w:hAnsi="Times New Roman" w:eastAsia="Times New Roman" w:cs="Times New Roman"/>
                <w:b w:val="0"/>
                <w:i w:val="0"/>
                <w:color w:val="000000"/>
                <w:sz w:val="20"/>
              </w:rPr>
              <w:t>Готовность инженерных систем</w:t>
            </w:r>
          </w:p>
        </w:tc>
        <w:tc>
          <w:tcPr>
            <w:tcW w:w="7257" w:type="dxa"/>
            <w:vAlign w:val="center"/>
          </w:tcPr>
          <w:p w14:paraId="394F6927">
            <w:pPr>
              <w:keepNext w:val="0"/>
              <w:spacing w:after="20" w:line="240" w:lineRule="auto"/>
              <w:ind w:firstLine="0"/>
              <w:jc w:val="left"/>
            </w:pPr>
            <w:r>
              <w:rPr>
                <w:rFonts w:ascii="Times New Roman" w:hAnsi="Times New Roman" w:eastAsia="Times New Roman" w:cs="Times New Roman"/>
                <w:b w:val="0"/>
                <w:i w:val="0"/>
                <w:color w:val="000000"/>
                <w:sz w:val="20"/>
              </w:rPr>
              <w:t>Предусмотренные проектом сети, подключения и оборудование, входящие в обязательства Застройщика, выполняются и приводятся в технически исправное состояние. Временные перерывы подачи ресурсов оцениваются исключительно при совокупности условий пункта 6.6.4</w:t>
            </w:r>
            <w:r>
              <w:rPr>
                <w:rFonts w:hint="default" w:eastAsia="Times New Roman" w:cs="Times New Roman"/>
                <w:b w:val="0"/>
                <w:i w:val="0"/>
                <w:color w:val="000000"/>
                <w:sz w:val="20"/>
                <w:lang w:val="ru-RU"/>
              </w:rPr>
              <w:t xml:space="preserve"> Договора</w:t>
            </w:r>
            <w:r>
              <w:rPr>
                <w:rFonts w:ascii="Times New Roman" w:hAnsi="Times New Roman" w:eastAsia="Times New Roman" w:cs="Times New Roman"/>
                <w:b w:val="0"/>
                <w:i w:val="0"/>
                <w:color w:val="000000"/>
                <w:sz w:val="20"/>
              </w:rPr>
              <w:t>.</w:t>
            </w:r>
          </w:p>
        </w:tc>
      </w:tr>
      <w:tr w14:paraId="43D03E0E">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40" w:type="dxa"/>
            <w:left w:w="90" w:type="dxa"/>
            <w:bottom w:w="40" w:type="dxa"/>
            <w:right w:w="90" w:type="dxa"/>
          </w:tblCellMar>
        </w:tblPrEx>
        <w:trPr>
          <w:cantSplit/>
          <w:jc w:val="center"/>
        </w:trPr>
        <w:tc>
          <w:tcPr>
            <w:tcW w:w="2665" w:type="dxa"/>
            <w:vAlign w:val="center"/>
          </w:tcPr>
          <w:p w14:paraId="339E16EB">
            <w:pPr>
              <w:keepNext w:val="0"/>
              <w:spacing w:after="20" w:line="240" w:lineRule="auto"/>
              <w:ind w:firstLine="0"/>
              <w:jc w:val="left"/>
            </w:pPr>
            <w:r>
              <w:rPr>
                <w:rFonts w:ascii="Times New Roman" w:hAnsi="Times New Roman" w:eastAsia="Times New Roman" w:cs="Times New Roman"/>
                <w:b w:val="0"/>
                <w:i w:val="0"/>
                <w:color w:val="000000"/>
                <w:sz w:val="20"/>
              </w:rPr>
              <w:t>Уборка и мойка</w:t>
            </w:r>
          </w:p>
        </w:tc>
        <w:tc>
          <w:tcPr>
            <w:tcW w:w="7257" w:type="dxa"/>
            <w:vAlign w:val="center"/>
          </w:tcPr>
          <w:p w14:paraId="282433D1">
            <w:pPr>
              <w:keepNext w:val="0"/>
              <w:spacing w:after="20" w:line="240" w:lineRule="auto"/>
              <w:ind w:firstLine="0"/>
              <w:jc w:val="left"/>
            </w:pPr>
            <w:r>
              <w:rPr>
                <w:rFonts w:ascii="Times New Roman" w:hAnsi="Times New Roman" w:eastAsia="Times New Roman" w:cs="Times New Roman"/>
                <w:b w:val="0"/>
                <w:i w:val="0"/>
                <w:color w:val="000000"/>
                <w:sz w:val="20"/>
              </w:rPr>
              <w:t xml:space="preserve">Без чистовой и бытовой уборки и мойки, с учетом пункта 14.6. Крупный и опасный строительный мусор удаляется Застройщиком. Допустимые следы строительного процесса должны удаляться </w:t>
            </w:r>
            <w:r>
              <w:rPr>
                <w:rFonts w:eastAsia="Times New Roman" w:cs="Times New Roman"/>
                <w:b w:val="0"/>
                <w:i w:val="0"/>
                <w:color w:val="000000"/>
                <w:sz w:val="20"/>
                <w:lang w:val="ru-RU"/>
              </w:rPr>
              <w:t>Участником</w:t>
            </w:r>
            <w:r>
              <w:rPr>
                <w:rFonts w:hint="default" w:eastAsia="Times New Roman" w:cs="Times New Roman"/>
                <w:b w:val="0"/>
                <w:i w:val="0"/>
                <w:color w:val="000000"/>
                <w:sz w:val="20"/>
                <w:lang w:val="ru-RU"/>
              </w:rPr>
              <w:t xml:space="preserve"> </w:t>
            </w:r>
            <w:r>
              <w:rPr>
                <w:rFonts w:ascii="Times New Roman" w:hAnsi="Times New Roman" w:eastAsia="Times New Roman" w:cs="Times New Roman"/>
                <w:b w:val="0"/>
                <w:i w:val="0"/>
                <w:color w:val="000000"/>
                <w:sz w:val="20"/>
              </w:rPr>
              <w:t>уборкой без ремонта и повреждения элементов.</w:t>
            </w:r>
          </w:p>
        </w:tc>
      </w:tr>
    </w:tbl>
    <w:p w14:paraId="3B80BB18">
      <w:pPr>
        <w:spacing w:before="0" w:after="0" w:line="40" w:lineRule="exact"/>
      </w:pPr>
    </w:p>
    <w:p w14:paraId="2543DAE4">
      <w:pPr>
        <w:keepNext w:val="0"/>
        <w:widowControl/>
        <w:spacing w:after="60" w:line="245" w:lineRule="auto"/>
        <w:ind w:firstLine="340"/>
        <w:jc w:val="both"/>
      </w:pPr>
      <w:r>
        <w:rPr>
          <w:rFonts w:ascii="Times New Roman" w:hAnsi="Times New Roman" w:eastAsia="Times New Roman" w:cs="Times New Roman"/>
          <w:b w:val="0"/>
          <w:i w:val="0"/>
          <w:color w:val="000000"/>
          <w:sz w:val="22"/>
        </w:rPr>
        <w:t xml:space="preserve">Состав передачи определен настоящим Приложением совместно с утвержденной проектной документацией и обязательными требованиями. </w:t>
      </w:r>
    </w:p>
    <w:tbl>
      <w:tblPr>
        <w:tblStyle w:val="12"/>
        <w:tblW w:w="0" w:type="auto"/>
        <w:jc w:val="center"/>
        <w:tblBorders>
          <w:top w:val="none" w:color="808080" w:sz="4" w:space="0"/>
          <w:left w:val="none" w:color="808080" w:sz="4" w:space="0"/>
          <w:bottom w:val="none" w:color="808080" w:sz="4" w:space="0"/>
          <w:right w:val="none" w:color="808080" w:sz="4" w:space="0"/>
          <w:insideH w:val="none" w:color="808080" w:sz="4" w:space="0"/>
          <w:insideV w:val="none" w:color="808080" w:sz="4" w:space="0"/>
        </w:tblBorders>
        <w:tblLayout w:type="fixed"/>
        <w:tblCellMar>
          <w:top w:w="40" w:type="dxa"/>
          <w:left w:w="90" w:type="dxa"/>
          <w:bottom w:w="40" w:type="dxa"/>
          <w:right w:w="90" w:type="dxa"/>
        </w:tblCellMar>
      </w:tblPr>
      <w:tblGrid>
        <w:gridCol w:w="4961"/>
        <w:gridCol w:w="4961"/>
      </w:tblGrid>
      <w:tr w14:paraId="0AB48A49">
        <w:tblPrEx>
          <w:tblBorders>
            <w:top w:val="none" w:color="808080" w:sz="4" w:space="0"/>
            <w:left w:val="none" w:color="808080" w:sz="4" w:space="0"/>
            <w:bottom w:val="none" w:color="808080" w:sz="4" w:space="0"/>
            <w:right w:val="none" w:color="808080" w:sz="4" w:space="0"/>
            <w:insideH w:val="none" w:color="808080" w:sz="4" w:space="0"/>
            <w:insideV w:val="none" w:color="808080" w:sz="4" w:space="0"/>
          </w:tblBorders>
          <w:tblCellMar>
            <w:top w:w="40" w:type="dxa"/>
            <w:left w:w="90" w:type="dxa"/>
            <w:bottom w:w="40" w:type="dxa"/>
            <w:right w:w="90" w:type="dxa"/>
          </w:tblCellMar>
        </w:tblPrEx>
        <w:trPr>
          <w:cantSplit/>
          <w:tblHeader/>
          <w:jc w:val="center"/>
        </w:trPr>
        <w:tc>
          <w:tcPr>
            <w:tcW w:w="4961" w:type="dxa"/>
            <w:shd w:val="clear" w:color="auto" w:fill="EEEEEE"/>
            <w:vAlign w:val="center"/>
          </w:tcPr>
          <w:p w14:paraId="701DDCF7">
            <w:pPr>
              <w:spacing w:after="20" w:line="240" w:lineRule="auto"/>
              <w:ind w:firstLine="0"/>
              <w:jc w:val="left"/>
            </w:pPr>
            <w:r>
              <w:rPr>
                <w:rFonts w:ascii="Times New Roman" w:hAnsi="Times New Roman" w:eastAsia="Times New Roman" w:cs="Times New Roman"/>
                <w:b/>
                <w:i w:val="0"/>
                <w:color w:val="000000"/>
                <w:sz w:val="20"/>
              </w:rPr>
              <w:t>Застройщик</w:t>
            </w:r>
          </w:p>
        </w:tc>
        <w:tc>
          <w:tcPr>
            <w:tcW w:w="4961" w:type="dxa"/>
            <w:shd w:val="clear" w:color="auto" w:fill="EEEEEE"/>
            <w:vAlign w:val="center"/>
          </w:tcPr>
          <w:p w14:paraId="514CFF5E">
            <w:pPr>
              <w:spacing w:after="20" w:line="240" w:lineRule="auto"/>
              <w:ind w:firstLine="0"/>
              <w:jc w:val="left"/>
            </w:pPr>
            <w:r>
              <w:rPr>
                <w:rFonts w:ascii="Times New Roman" w:hAnsi="Times New Roman" w:eastAsia="Times New Roman" w:cs="Times New Roman"/>
                <w:b/>
                <w:i w:val="0"/>
                <w:color w:val="000000"/>
                <w:sz w:val="20"/>
              </w:rPr>
              <w:t>Участник</w:t>
            </w:r>
          </w:p>
        </w:tc>
      </w:tr>
      <w:tr w14:paraId="01824EB1">
        <w:tblPrEx>
          <w:tblBorders>
            <w:top w:val="none" w:color="808080" w:sz="4" w:space="0"/>
            <w:left w:val="none" w:color="808080" w:sz="4" w:space="0"/>
            <w:bottom w:val="none" w:color="808080" w:sz="4" w:space="0"/>
            <w:right w:val="none" w:color="808080" w:sz="4" w:space="0"/>
            <w:insideH w:val="none" w:color="808080" w:sz="4" w:space="0"/>
            <w:insideV w:val="none" w:color="808080" w:sz="4" w:space="0"/>
          </w:tblBorders>
          <w:tblCellMar>
            <w:top w:w="40" w:type="dxa"/>
            <w:left w:w="90" w:type="dxa"/>
            <w:bottom w:w="40" w:type="dxa"/>
            <w:right w:w="90" w:type="dxa"/>
          </w:tblCellMar>
        </w:tblPrEx>
        <w:trPr>
          <w:cantSplit/>
          <w:jc w:val="center"/>
        </w:trPr>
        <w:tc>
          <w:tcPr>
            <w:tcW w:w="4961" w:type="dxa"/>
            <w:vAlign w:val="center"/>
          </w:tcPr>
          <w:p w14:paraId="04D61AF4">
            <w:pPr>
              <w:spacing w:after="20" w:line="240" w:lineRule="auto"/>
              <w:ind w:firstLine="0"/>
              <w:jc w:val="left"/>
            </w:pPr>
            <w:r>
              <w:rPr>
                <w:rFonts w:ascii="Times New Roman" w:hAnsi="Times New Roman" w:eastAsia="Times New Roman" w:cs="Times New Roman"/>
                <w:b w:val="0"/>
                <w:i w:val="0"/>
                <w:color w:val="000000"/>
                <w:sz w:val="20"/>
              </w:rPr>
              <w:t>______________ / Терехова М. М. /</w:t>
            </w:r>
          </w:p>
        </w:tc>
        <w:tc>
          <w:tcPr>
            <w:tcW w:w="4961" w:type="dxa"/>
            <w:vAlign w:val="center"/>
          </w:tcPr>
          <w:p w14:paraId="23F4F300">
            <w:pPr>
              <w:spacing w:after="20" w:line="240" w:lineRule="auto"/>
              <w:ind w:firstLine="0"/>
              <w:jc w:val="left"/>
            </w:pPr>
            <w:r>
              <w:rPr>
                <w:rFonts w:ascii="Times New Roman" w:hAnsi="Times New Roman" w:eastAsia="Times New Roman" w:cs="Times New Roman"/>
                <w:b w:val="0"/>
                <w:i w:val="0"/>
                <w:color w:val="000000"/>
                <w:sz w:val="20"/>
              </w:rPr>
              <w:t xml:space="preserve">______________ / </w:t>
            </w:r>
            <w:r>
              <w:rPr>
                <w:rFonts w:ascii="Times New Roman" w:hAnsi="Times New Roman" w:eastAsia="Times New Roman" w:cs="Times New Roman"/>
                <w:b w:val="0"/>
                <w:i w:val="0"/>
                <w:color w:val="000000"/>
                <w:sz w:val="20"/>
                <w:highlight w:val="yellow"/>
              </w:rPr>
              <w:t>[Ф. И. О.]</w:t>
            </w:r>
            <w:r>
              <w:rPr>
                <w:rFonts w:ascii="Times New Roman" w:hAnsi="Times New Roman" w:eastAsia="Times New Roman" w:cs="Times New Roman"/>
                <w:b w:val="0"/>
                <w:i w:val="0"/>
                <w:color w:val="000000"/>
                <w:sz w:val="20"/>
              </w:rPr>
              <w:t xml:space="preserve"> /</w:t>
            </w:r>
          </w:p>
        </w:tc>
      </w:tr>
    </w:tbl>
    <w:p w14:paraId="245C1C1A">
      <w:pPr>
        <w:spacing w:before="0" w:after="0" w:line="40" w:lineRule="exact"/>
      </w:pPr>
    </w:p>
    <w:sectPr>
      <w:headerReference r:id="rId5" w:type="default"/>
      <w:footerReference r:id="rId6" w:type="default"/>
      <w:pgSz w:w="11906" w:h="16838"/>
      <w:pgMar w:top="1077" w:right="850" w:bottom="935" w:left="1134" w:header="369" w:footer="397"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panose1 w:val="02060409020205020404"/>
    <w:charset w:val="00"/>
    <w:family w:val="auto"/>
    <w:pitch w:val="default"/>
    <w:sig w:usb0="00000000" w:usb1="00000000" w:usb2="00000000" w:usb3="00000000" w:csb0="00000000" w:csb1="00000000"/>
  </w:font>
  <w:font w:name="Symbol">
    <w:panose1 w:val="05050102010706020507"/>
    <w:charset w:val="02"/>
    <w:family w:val="auto"/>
    <w:pitch w:val="default"/>
    <w:sig w:usb0="00000000" w:usb1="00000000" w:usb2="00000000" w:usb3="00000000" w:csb0="80000000"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1B7E6">
    <w:pPr>
      <w:pStyle w:val="26"/>
      <w:jc w:val="right"/>
    </w:pPr>
    <w:r>
      <w:rPr>
        <w:rFonts w:ascii="Times New Roman" w:hAnsi="Times New Roman" w:eastAsia="Times New Roman" w:cs="Times New Roman"/>
        <w:b w:val="0"/>
        <w:i w:val="0"/>
        <w:color w:val="000000"/>
        <w:sz w:val="16"/>
      </w:rPr>
      <w:t xml:space="preserve">ДДУ  |  </w:t>
    </w:r>
    <w:r>
      <w:rPr>
        <w:rFonts w:ascii="Times New Roman" w:hAnsi="Times New Roman" w:eastAsia="Times New Roman" w:cs="Times New Roman"/>
        <w:b w:val="0"/>
        <w:i w:val="0"/>
        <w:color w:val="000000"/>
        <w:sz w:val="16"/>
      </w:rPr>
      <w:fldChar w:fldCharType="begin"/>
    </w:r>
    <w:r>
      <w:rPr>
        <w:rFonts w:ascii="Times New Roman" w:hAnsi="Times New Roman" w:eastAsia="Times New Roman" w:cs="Times New Roman"/>
        <w:b w:val="0"/>
        <w:i w:val="0"/>
        <w:color w:val="000000"/>
        <w:sz w:val="16"/>
      </w:rPr>
      <w:instrText xml:space="preserve"> PAGE </w:instrText>
    </w:r>
    <w:r>
      <w:rPr>
        <w:rFonts w:ascii="Times New Roman" w:hAnsi="Times New Roman" w:eastAsia="Times New Roman" w:cs="Times New Roman"/>
        <w:b w:val="0"/>
        <w:i w:val="0"/>
        <w:color w:val="000000"/>
        <w:sz w:val="16"/>
      </w:rPr>
      <w:fldChar w:fldCharType="end"/>
    </w:r>
    <w:r>
      <w:rPr>
        <w:rFonts w:ascii="Times New Roman" w:hAnsi="Times New Roman" w:eastAsia="Times New Roman" w:cs="Times New Roman"/>
        <w:b w:val="0"/>
        <w:i w:val="0"/>
        <w:color w:val="000000"/>
        <w:sz w:val="16"/>
      </w:rPr>
      <w:t xml:space="preserve"> / </w:t>
    </w:r>
    <w:r>
      <w:rPr>
        <w:rFonts w:ascii="Times New Roman" w:hAnsi="Times New Roman" w:eastAsia="Times New Roman" w:cs="Times New Roman"/>
        <w:b w:val="0"/>
        <w:i w:val="0"/>
        <w:color w:val="000000"/>
        <w:sz w:val="16"/>
      </w:rPr>
      <w:fldChar w:fldCharType="begin"/>
    </w:r>
    <w:r>
      <w:rPr>
        <w:rFonts w:ascii="Times New Roman" w:hAnsi="Times New Roman" w:eastAsia="Times New Roman" w:cs="Times New Roman"/>
        <w:b w:val="0"/>
        <w:i w:val="0"/>
        <w:color w:val="000000"/>
        <w:sz w:val="16"/>
      </w:rPr>
      <w:instrText xml:space="preserve"> NUMPAGES </w:instrText>
    </w:r>
    <w:r>
      <w:rPr>
        <w:rFonts w:ascii="Times New Roman" w:hAnsi="Times New Roman" w:eastAsia="Times New Roman" w:cs="Times New Roman"/>
        <w:b w:val="0"/>
        <w:i w:val="0"/>
        <w:color w:val="000000"/>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37AFC">
    <w:pPr>
      <w:pStyle w:val="19"/>
      <w:spacing w:after="0"/>
      <w:jc w:val="center"/>
    </w:pPr>
    <w:r>
      <w:rPr>
        <w:rFonts w:ascii="Times New Roman" w:hAnsi="Times New Roman" w:eastAsia="Times New Roman" w:cs="Times New Roman"/>
        <w:b/>
        <w:i w:val="0"/>
        <w:color w:val="000000"/>
        <w:sz w:val="18"/>
      </w:rPr>
      <w:t>ООО «СЗ «АЛЬФА-СТРОЙ»  |  ЖК «ОНЕГИН»</w:t>
    </w:r>
  </w:p>
  <w:p w14:paraId="265B3A98">
    <w:pPr>
      <w:spacing w:after="0"/>
      <w:jc w:val="center"/>
    </w:pPr>
    <w:r>
      <w:rPr>
        <w:rFonts w:ascii="Times New Roman" w:hAnsi="Times New Roman" w:eastAsia="Times New Roman" w:cs="Times New Roman"/>
        <w:b w:val="0"/>
        <w:i w:val="0"/>
        <w:color w:val="000000"/>
        <w:sz w:val="16"/>
      </w:rPr>
      <w:t>ИНН 3900020781  •  ОГРН 1243900000695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18"/>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28"/>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4"/>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7"/>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2"/>
      <w:lvlText w:val=""/>
      <w:lvlJc w:val="left"/>
      <w:pPr>
        <w:tabs>
          <w:tab w:val="left" w:pos="360"/>
        </w:tabs>
        <w:ind w:left="360" w:hanging="360"/>
      </w:pPr>
      <w:rPr>
        <w:rFonts w:hint="default" w:ascii="Symbol" w:hAnsi="Symbol"/>
      </w:rPr>
    </w:lvl>
  </w:abstractNum>
  <w:num w:numId="1">
    <w:abstractNumId w:val="0"/>
  </w:num>
  <w:num w:numId="2">
    <w:abstractNumId w:val="5"/>
  </w:num>
  <w:num w:numId="3">
    <w:abstractNumId w:val="3"/>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46850A5"/>
    <w:rsid w:val="265D2E9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qFormat="1" w:unhideWhenUsed="0" w:uiPriority="65" w:semiHidden="0" w:name="Medium List 1"/>
    <w:lsdException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unhideWhenUsed="0" w:uiPriority="71" w:semiHidden="0" w:name="Colorful Shading"/>
    <w:lsdException w:qFormat="1" w:unhideWhenUsed="0" w:uiPriority="72" w:semiHidden="0" w:name="Colorful List"/>
    <w:lsdException w:unhideWhenUsed="0" w:uiPriority="73" w:semiHidden="0" w:name="Colorful Grid"/>
    <w:lsdException w:qFormat="1" w:unhideWhenUsed="0" w:uiPriority="60" w:semiHidden="0" w:name="Light Shading Accent 1"/>
    <w:lsdException w:unhideWhenUsed="0" w:uiPriority="61" w:semiHidden="0" w:name="Light List Accent 1"/>
    <w:lsdException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unhideWhenUsed="0" w:uiPriority="68" w:semiHidden="0" w:name="Medium Grid 2 Accent 1"/>
    <w:lsdException w:qFormat="1" w:unhideWhenUsed="0" w:uiPriority="69" w:semiHidden="0" w:name="Medium Grid 3 Accent 1"/>
    <w:lsdException w:qFormat="1" w:unhideWhenUsed="0" w:uiPriority="70" w:semiHidden="0" w:name="Dark List Accent 1"/>
    <w:lsdException w:unhideWhenUsed="0" w:uiPriority="71" w:semiHidden="0" w:name="Colorful Shading Accent 1"/>
    <w:lsdException w:unhideWhenUsed="0" w:uiPriority="72" w:semiHidden="0" w:name="Colorful List Accent 1"/>
    <w:lsdException w:qFormat="1"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unhideWhenUsed="0" w:uiPriority="70" w:semiHidden="0" w:name="Dark List Accent 2"/>
    <w:lsdException w:qFormat="1" w:unhideWhenUsed="0" w:uiPriority="71" w:semiHidden="0" w:name="Colorful Shading Accent 2"/>
    <w:lsdException w:qFormat="1"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qFormat="1" w:unhideWhenUsed="0" w:uiPriority="62" w:semiHidden="0" w:name="Light Grid Accent 4"/>
    <w:lsdException w:unhideWhenUsed="0" w:uiPriority="63" w:semiHidden="0" w:name="Medium Shading 1 Accent 4"/>
    <w:lsdException w:qFormat="1"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unhideWhenUsed="0" w:uiPriority="61" w:semiHidden="0" w:name="Light List Accent 5"/>
    <w:lsdException w:unhideWhenUsed="0" w:uiPriority="62" w:semiHidden="0" w:name="Light Grid Accent 5"/>
    <w:lsdException w:qFormat="1" w:unhideWhenUsed="0" w:uiPriority="63" w:semiHidden="0" w:name="Medium Shading 1 Accent 5"/>
    <w:lsdException w:unhideWhenUsed="0" w:uiPriority="64" w:semiHidden="0" w:name="Medium Shading 2 Accent 5"/>
    <w:lsdException w:qFormat="1" w:unhideWhenUsed="0" w:uiPriority="65" w:semiHidden="0" w:name="Medium List 1 Accent 5"/>
    <w:lsdException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unhideWhenUsed="0" w:uiPriority="69" w:semiHidden="0" w:name="Medium Grid 3 Accent 5"/>
    <w:lsdException w:qFormat="1" w:unhideWhenUsed="0" w:uiPriority="70" w:semiHidden="0" w:name="Dark List Accent 5"/>
    <w:lsdException w:qFormat="1"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qFormat="1" w:unhideWhenUsed="0" w:uiPriority="61" w:semiHidden="0" w:name="Light List Accent 6"/>
    <w:lsdException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qFormat="1" w:unhideWhenUsed="0" w:uiPriority="68" w:semiHidden="0" w:name="Medium Grid 2 Accent 6"/>
    <w:lsdException w:unhideWhenUsed="0" w:uiPriority="69" w:semiHidden="0" w:name="Medium Grid 3 Accent 6"/>
    <w:lsdException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60" w:line="276" w:lineRule="auto"/>
    </w:pPr>
    <w:rPr>
      <w:rFonts w:ascii="Times New Roman" w:hAnsi="Times New Roman" w:eastAsiaTheme="minorEastAsia" w:cstheme="minorBidi"/>
      <w:sz w:val="22"/>
      <w:szCs w:val="22"/>
      <w:lang w:val="en-US" w:eastAsia="en-US" w:bidi="ar-SA"/>
    </w:rPr>
  </w:style>
  <w:style w:type="paragraph" w:styleId="2">
    <w:name w:val="heading 1"/>
    <w:basedOn w:val="1"/>
    <w:next w:val="1"/>
    <w:link w:val="40"/>
    <w:qFormat/>
    <w:uiPriority w:val="9"/>
    <w:pPr>
      <w:keepNext/>
      <w:keepLines/>
      <w:spacing w:before="480" w:after="0"/>
      <w:outlineLvl w:val="0"/>
    </w:pPr>
    <w:rPr>
      <w:rFonts w:asciiTheme="majorHAnsi" w:hAnsiTheme="majorHAnsi" w:eastAsiaTheme="majorEastAsia" w:cstheme="majorBidi"/>
      <w:b/>
      <w:bCs/>
      <w:color w:val="000000"/>
      <w:sz w:val="28"/>
      <w:szCs w:val="28"/>
    </w:rPr>
  </w:style>
  <w:style w:type="paragraph" w:styleId="3">
    <w:name w:val="heading 2"/>
    <w:basedOn w:val="1"/>
    <w:next w:val="1"/>
    <w:link w:val="41"/>
    <w:unhideWhenUsed/>
    <w:qFormat/>
    <w:uiPriority w:val="9"/>
    <w:pPr>
      <w:keepNext/>
      <w:keepLines/>
      <w:spacing w:before="200" w:after="0"/>
      <w:outlineLvl w:val="1"/>
    </w:pPr>
    <w:rPr>
      <w:rFonts w:asciiTheme="majorHAnsi" w:hAnsiTheme="majorHAnsi" w:eastAsiaTheme="majorEastAsia" w:cstheme="majorBidi"/>
      <w:b/>
      <w:bCs/>
      <w:color w:val="000000"/>
      <w:sz w:val="26"/>
      <w:szCs w:val="26"/>
    </w:rPr>
  </w:style>
  <w:style w:type="paragraph" w:styleId="4">
    <w:name w:val="heading 3"/>
    <w:basedOn w:val="1"/>
    <w:next w:val="1"/>
    <w:link w:val="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character" w:styleId="14">
    <w:name w:val="Strong"/>
    <w:basedOn w:val="11"/>
    <w:qFormat/>
    <w:uiPriority w:val="22"/>
    <w:rPr>
      <w:b/>
      <w:bCs/>
    </w:rPr>
  </w:style>
  <w:style w:type="paragraph" w:styleId="15">
    <w:name w:val="List Continue"/>
    <w:basedOn w:val="1"/>
    <w:unhideWhenUsed/>
    <w:qFormat/>
    <w:uiPriority w:val="99"/>
    <w:pPr>
      <w:spacing w:after="120"/>
      <w:ind w:left="360"/>
      <w:contextualSpacing/>
    </w:pPr>
  </w:style>
  <w:style w:type="paragraph" w:styleId="16">
    <w:name w:val="Body Text 2"/>
    <w:basedOn w:val="1"/>
    <w:link w:val="47"/>
    <w:unhideWhenUsed/>
    <w:qFormat/>
    <w:uiPriority w:val="99"/>
    <w:pPr>
      <w:spacing w:after="120" w:line="480" w:lineRule="auto"/>
    </w:pPr>
  </w:style>
  <w:style w:type="paragraph" w:styleId="17">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8">
    <w:name w:val="List Number 3"/>
    <w:basedOn w:val="1"/>
    <w:unhideWhenUsed/>
    <w:qFormat/>
    <w:uiPriority w:val="99"/>
    <w:pPr>
      <w:numPr>
        <w:ilvl w:val="0"/>
        <w:numId w:val="1"/>
      </w:numPr>
      <w:contextualSpacing/>
    </w:pPr>
  </w:style>
  <w:style w:type="paragraph" w:styleId="19">
    <w:name w:val="header"/>
    <w:basedOn w:val="1"/>
    <w:link w:val="37"/>
    <w:unhideWhenUsed/>
    <w:qFormat/>
    <w:uiPriority w:val="99"/>
    <w:pPr>
      <w:tabs>
        <w:tab w:val="center" w:pos="4680"/>
        <w:tab w:val="right" w:pos="9360"/>
      </w:tabs>
      <w:spacing w:after="0" w:line="240" w:lineRule="auto"/>
    </w:pPr>
  </w:style>
  <w:style w:type="paragraph" w:styleId="20">
    <w:name w:val="Body Text"/>
    <w:basedOn w:val="1"/>
    <w:link w:val="46"/>
    <w:unhideWhenUsed/>
    <w:qFormat/>
    <w:uiPriority w:val="99"/>
    <w:pPr>
      <w:spacing w:after="120"/>
    </w:pPr>
  </w:style>
  <w:style w:type="paragraph" w:styleId="21">
    <w:name w:val="macro"/>
    <w:link w:val="49"/>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22">
    <w:name w:val="List Bullet"/>
    <w:basedOn w:val="1"/>
    <w:unhideWhenUsed/>
    <w:qFormat/>
    <w:uiPriority w:val="99"/>
    <w:pPr>
      <w:numPr>
        <w:ilvl w:val="0"/>
        <w:numId w:val="2"/>
      </w:numPr>
      <w:contextualSpacing/>
    </w:pPr>
  </w:style>
  <w:style w:type="paragraph" w:styleId="23">
    <w:name w:val="List Bullet 2"/>
    <w:basedOn w:val="1"/>
    <w:unhideWhenUsed/>
    <w:qFormat/>
    <w:uiPriority w:val="99"/>
    <w:pPr>
      <w:numPr>
        <w:ilvl w:val="0"/>
        <w:numId w:val="3"/>
      </w:numPr>
      <w:contextualSpacing/>
    </w:pPr>
  </w:style>
  <w:style w:type="paragraph" w:styleId="24">
    <w:name w:val="List Bullet 3"/>
    <w:basedOn w:val="1"/>
    <w:unhideWhenUsed/>
    <w:qFormat/>
    <w:uiPriority w:val="99"/>
    <w:pPr>
      <w:numPr>
        <w:ilvl w:val="0"/>
        <w:numId w:val="4"/>
      </w:numPr>
      <w:contextualSpacing/>
    </w:pPr>
  </w:style>
  <w:style w:type="paragraph" w:styleId="25">
    <w:name w:val="Title"/>
    <w:basedOn w:val="1"/>
    <w:next w:val="1"/>
    <w:link w:val="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000000"/>
      <w:spacing w:val="5"/>
      <w:kern w:val="28"/>
      <w:sz w:val="52"/>
      <w:szCs w:val="52"/>
    </w:rPr>
  </w:style>
  <w:style w:type="paragraph" w:styleId="26">
    <w:name w:val="footer"/>
    <w:basedOn w:val="1"/>
    <w:link w:val="38"/>
    <w:unhideWhenUsed/>
    <w:qFormat/>
    <w:uiPriority w:val="99"/>
    <w:pPr>
      <w:tabs>
        <w:tab w:val="center" w:pos="4680"/>
        <w:tab w:val="right" w:pos="9360"/>
      </w:tabs>
      <w:spacing w:after="0" w:line="240" w:lineRule="auto"/>
    </w:pPr>
  </w:style>
  <w:style w:type="paragraph" w:styleId="27">
    <w:name w:val="List Number"/>
    <w:basedOn w:val="1"/>
    <w:unhideWhenUsed/>
    <w:qFormat/>
    <w:uiPriority w:val="99"/>
    <w:pPr>
      <w:numPr>
        <w:ilvl w:val="0"/>
        <w:numId w:val="5"/>
      </w:numPr>
      <w:contextualSpacing/>
    </w:pPr>
  </w:style>
  <w:style w:type="paragraph" w:styleId="28">
    <w:name w:val="List Number 2"/>
    <w:basedOn w:val="1"/>
    <w:unhideWhenUsed/>
    <w:qFormat/>
    <w:uiPriority w:val="99"/>
    <w:pPr>
      <w:numPr>
        <w:ilvl w:val="0"/>
        <w:numId w:val="6"/>
      </w:numPr>
      <w:contextualSpacing/>
    </w:pPr>
  </w:style>
  <w:style w:type="paragraph" w:styleId="29">
    <w:name w:val="List"/>
    <w:basedOn w:val="1"/>
    <w:unhideWhenUsed/>
    <w:qFormat/>
    <w:uiPriority w:val="99"/>
    <w:pPr>
      <w:ind w:left="360" w:hanging="360"/>
      <w:contextualSpacing/>
    </w:pPr>
  </w:style>
  <w:style w:type="paragraph" w:styleId="30">
    <w:name w:val="Body Text 3"/>
    <w:basedOn w:val="1"/>
    <w:link w:val="48"/>
    <w:unhideWhenUsed/>
    <w:qFormat/>
    <w:uiPriority w:val="99"/>
    <w:pPr>
      <w:spacing w:after="120"/>
    </w:pPr>
    <w:rPr>
      <w:sz w:val="16"/>
      <w:szCs w:val="16"/>
    </w:rPr>
  </w:style>
  <w:style w:type="paragraph" w:styleId="31">
    <w:name w:val="Subtitle"/>
    <w:basedOn w:val="1"/>
    <w:next w:val="1"/>
    <w:link w:val="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2">
    <w:name w:val="List Continue 2"/>
    <w:basedOn w:val="1"/>
    <w:unhideWhenUsed/>
    <w:qFormat/>
    <w:uiPriority w:val="99"/>
    <w:pPr>
      <w:spacing w:after="120"/>
      <w:ind w:left="720"/>
      <w:contextualSpacing/>
    </w:pPr>
  </w:style>
  <w:style w:type="paragraph" w:styleId="33">
    <w:name w:val="List Continue 3"/>
    <w:basedOn w:val="1"/>
    <w:unhideWhenUsed/>
    <w:qFormat/>
    <w:uiPriority w:val="99"/>
    <w:pPr>
      <w:spacing w:after="120"/>
      <w:ind w:left="1080"/>
      <w:contextualSpacing/>
    </w:pPr>
  </w:style>
  <w:style w:type="paragraph" w:styleId="34">
    <w:name w:val="List 2"/>
    <w:basedOn w:val="1"/>
    <w:unhideWhenUsed/>
    <w:qFormat/>
    <w:uiPriority w:val="99"/>
    <w:pPr>
      <w:ind w:left="720" w:hanging="360"/>
      <w:contextualSpacing/>
    </w:pPr>
  </w:style>
  <w:style w:type="paragraph" w:styleId="35">
    <w:name w:val="List 3"/>
    <w:basedOn w:val="1"/>
    <w:unhideWhenUsed/>
    <w:qFormat/>
    <w:uiPriority w:val="99"/>
    <w:pPr>
      <w:ind w:left="1080" w:hanging="360"/>
      <w:contextualSpacing/>
    </w:pPr>
  </w:style>
  <w:style w:type="table" w:styleId="36">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7">
    <w:name w:val="Header Char"/>
    <w:basedOn w:val="11"/>
    <w:link w:val="19"/>
    <w:qFormat/>
    <w:uiPriority w:val="99"/>
  </w:style>
  <w:style w:type="character" w:customStyle="1" w:styleId="38">
    <w:name w:val="Footer Char"/>
    <w:basedOn w:val="11"/>
    <w:link w:val="26"/>
    <w:qFormat/>
    <w:uiPriority w:val="99"/>
  </w:style>
  <w:style w:type="paragraph" w:styleId="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40">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41">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42">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43">
    <w:name w:val="Title Char"/>
    <w:basedOn w:val="11"/>
    <w:link w:val="25"/>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44">
    <w:name w:val="Subtitle Char"/>
    <w:basedOn w:val="11"/>
    <w:link w:val="31"/>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45">
    <w:name w:val="List Paragraph"/>
    <w:basedOn w:val="1"/>
    <w:qFormat/>
    <w:uiPriority w:val="34"/>
    <w:pPr>
      <w:ind w:left="720"/>
      <w:contextualSpacing/>
    </w:pPr>
  </w:style>
  <w:style w:type="character" w:customStyle="1" w:styleId="46">
    <w:name w:val="Body Text Char"/>
    <w:basedOn w:val="11"/>
    <w:link w:val="20"/>
    <w:qFormat/>
    <w:uiPriority w:val="99"/>
  </w:style>
  <w:style w:type="character" w:customStyle="1" w:styleId="47">
    <w:name w:val="Body Text 2 Char"/>
    <w:basedOn w:val="11"/>
    <w:link w:val="16"/>
    <w:qFormat/>
    <w:uiPriority w:val="99"/>
  </w:style>
  <w:style w:type="character" w:customStyle="1" w:styleId="48">
    <w:name w:val="Body Text 3 Char"/>
    <w:basedOn w:val="11"/>
    <w:link w:val="30"/>
    <w:qFormat/>
    <w:uiPriority w:val="99"/>
    <w:rPr>
      <w:sz w:val="16"/>
      <w:szCs w:val="16"/>
    </w:rPr>
  </w:style>
  <w:style w:type="character" w:customStyle="1" w:styleId="49">
    <w:name w:val="Macro Text Char"/>
    <w:basedOn w:val="11"/>
    <w:link w:val="21"/>
    <w:uiPriority w:val="99"/>
    <w:rPr>
      <w:rFonts w:ascii="Courier" w:hAnsi="Courier"/>
      <w:sz w:val="20"/>
      <w:szCs w:val="20"/>
    </w:rPr>
  </w:style>
  <w:style w:type="paragraph" w:styleId="50">
    <w:name w:val="Quote"/>
    <w:basedOn w:val="1"/>
    <w:next w:val="1"/>
    <w:link w:val="51"/>
    <w:qFormat/>
    <w:uiPriority w:val="29"/>
    <w:rPr>
      <w:i/>
      <w:iCs/>
      <w:color w:val="000000" w:themeColor="text1"/>
      <w14:textFill>
        <w14:solidFill>
          <w14:schemeClr w14:val="tx1"/>
        </w14:solidFill>
      </w14:textFill>
    </w:rPr>
  </w:style>
  <w:style w:type="character" w:customStyle="1" w:styleId="51">
    <w:name w:val="Quote Char"/>
    <w:basedOn w:val="11"/>
    <w:link w:val="50"/>
    <w:uiPriority w:val="29"/>
    <w:rPr>
      <w:i/>
      <w:iCs/>
      <w:color w:val="000000" w:themeColor="text1"/>
      <w14:textFill>
        <w14:solidFill>
          <w14:schemeClr w14:val="tx1"/>
        </w14:solidFill>
      </w14:textFill>
    </w:rPr>
  </w:style>
  <w:style w:type="character" w:customStyle="1" w:styleId="52">
    <w:name w:val="Heading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53">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54">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55">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56">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57">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58">
    <w:name w:val="Intense Quote"/>
    <w:basedOn w:val="1"/>
    <w:next w:val="1"/>
    <w:link w:val="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59">
    <w:name w:val="Intense Quote Char"/>
    <w:basedOn w:val="11"/>
    <w:link w:val="58"/>
    <w:qFormat/>
    <w:uiPriority w:val="30"/>
    <w:rPr>
      <w:b/>
      <w:bCs/>
      <w:i/>
      <w:iCs/>
      <w:color w:val="4F81BD" w:themeColor="accent1"/>
      <w14:textFill>
        <w14:solidFill>
          <w14:schemeClr w14:val="accent1"/>
        </w14:solidFill>
      </w14:textFill>
    </w:rPr>
  </w:style>
  <w:style w:type="character" w:customStyle="1" w:styleId="60">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61">
    <w:name w:val="Intense Emphasis"/>
    <w:basedOn w:val="11"/>
    <w:qFormat/>
    <w:uiPriority w:val="21"/>
    <w:rPr>
      <w:b/>
      <w:bCs/>
      <w:i/>
      <w:iCs/>
      <w:color w:val="4F81BD" w:themeColor="accent1"/>
      <w14:textFill>
        <w14:solidFill>
          <w14:schemeClr w14:val="accent1"/>
        </w14:solidFill>
      </w14:textFill>
    </w:rPr>
  </w:style>
  <w:style w:type="character" w:customStyle="1" w:styleId="62">
    <w:name w:val="Subtle Reference"/>
    <w:basedOn w:val="11"/>
    <w:qFormat/>
    <w:uiPriority w:val="31"/>
    <w:rPr>
      <w:smallCaps/>
      <w:color w:val="C0504D" w:themeColor="accent2"/>
      <w:u w:val="single"/>
      <w14:textFill>
        <w14:solidFill>
          <w14:schemeClr w14:val="accent2"/>
        </w14:solidFill>
      </w14:textFill>
    </w:rPr>
  </w:style>
  <w:style w:type="character" w:customStyle="1" w:styleId="63">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64">
    <w:name w:val="Book Title"/>
    <w:basedOn w:val="11"/>
    <w:qFormat/>
    <w:uiPriority w:val="33"/>
    <w:rPr>
      <w:b/>
      <w:bCs/>
      <w:smallCaps/>
      <w:spacing w:val="5"/>
    </w:rPr>
  </w:style>
  <w:style w:type="paragraph" w:customStyle="1" w:styleId="65">
    <w:name w:val="TOC Heading"/>
    <w:basedOn w:val="2"/>
    <w:next w:val="1"/>
    <w:semiHidden/>
    <w:unhideWhenUsed/>
    <w:qFormat/>
    <w:uiPriority w:val="39"/>
    <w:pPr>
      <w:outlineLvl w:val="9"/>
    </w:pPr>
  </w:style>
  <w:style w:type="table" w:styleId="66">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styleId="67">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3DFEE" w:themeFill="accent1" w:themeFillTint="3F"/>
      </w:tcPr>
    </w:tblStylePr>
    <w:tblStylePr w:type="band1Horz">
      <w:tcPr>
        <w:tcBorders>
          <w:left w:val="nil"/>
          <w:right w:val="nil"/>
          <w:insideH w:val="nil"/>
          <w:insideV w:val="nil"/>
        </w:tcBorders>
        <w:shd w:val="clear" w:color="auto" w:fill="D3DFEE" w:themeFill="accent1" w:themeFillTint="3F"/>
      </w:tcPr>
    </w:tblStylePr>
  </w:style>
  <w:style w:type="table" w:styleId="68">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FD3D3" w:themeFill="accent2" w:themeFillTint="3F"/>
      </w:tcPr>
    </w:tblStylePr>
    <w:tblStylePr w:type="band1Horz">
      <w:tcPr>
        <w:tcBorders>
          <w:left w:val="nil"/>
          <w:right w:val="nil"/>
          <w:insideH w:val="nil"/>
          <w:insideV w:val="nil"/>
        </w:tcBorders>
        <w:shd w:val="clear" w:color="auto" w:fill="EFD3D3" w:themeFill="accent2" w:themeFillTint="3F"/>
      </w:tcPr>
    </w:tblStylePr>
  </w:style>
  <w:style w:type="table" w:styleId="69">
    <w:name w:val="Light Shading Accent 3"/>
    <w:basedOn w:val="1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6EED5" w:themeFill="accent3" w:themeFillTint="3F"/>
      </w:tcPr>
    </w:tblStylePr>
    <w:tblStylePr w:type="band1Horz">
      <w:tcPr>
        <w:tcBorders>
          <w:left w:val="nil"/>
          <w:right w:val="nil"/>
          <w:insideH w:val="nil"/>
          <w:insideV w:val="nil"/>
        </w:tcBorders>
        <w:shd w:val="clear" w:color="auto" w:fill="E6EED5" w:themeFill="accent3" w:themeFillTint="3F"/>
      </w:tcPr>
    </w:tblStylePr>
  </w:style>
  <w:style w:type="table" w:styleId="70">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FD8E8" w:themeFill="accent4" w:themeFillTint="3F"/>
      </w:tcPr>
    </w:tblStylePr>
    <w:tblStylePr w:type="band1Horz">
      <w:tcPr>
        <w:tcBorders>
          <w:left w:val="nil"/>
          <w:right w:val="nil"/>
          <w:insideH w:val="nil"/>
          <w:insideV w:val="nil"/>
        </w:tcBorders>
        <w:shd w:val="clear" w:color="auto" w:fill="DFD8E8" w:themeFill="accent4" w:themeFillTint="3F"/>
      </w:tcPr>
    </w:tblStylePr>
  </w:style>
  <w:style w:type="table" w:styleId="71">
    <w:name w:val="Light Shading Accent 5"/>
    <w:basedOn w:val="1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2EAF0" w:themeFill="accent5" w:themeFillTint="3F"/>
      </w:tcPr>
    </w:tblStylePr>
    <w:tblStylePr w:type="band1Horz">
      <w:tcPr>
        <w:tcBorders>
          <w:left w:val="nil"/>
          <w:right w:val="nil"/>
          <w:insideH w:val="nil"/>
          <w:insideV w:val="nil"/>
        </w:tcBorders>
        <w:shd w:val="clear" w:color="auto" w:fill="D2EAF0" w:themeFill="accent5" w:themeFillTint="3F"/>
      </w:tcPr>
    </w:tblStylePr>
  </w:style>
  <w:style w:type="table" w:styleId="72">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FDE5D1" w:themeFill="accent6" w:themeFillTint="3F"/>
      </w:tcPr>
    </w:tblStylePr>
    <w:tblStylePr w:type="band1Horz">
      <w:tcPr>
        <w:tcBorders>
          <w:left w:val="nil"/>
          <w:right w:val="nil"/>
          <w:insideH w:val="nil"/>
          <w:insideV w:val="nil"/>
        </w:tcBorders>
        <w:shd w:val="clear" w:color="auto" w:fill="FDE5D1" w:themeFill="accent6" w:themeFillTint="3F"/>
      </w:tcPr>
    </w:tblStylePr>
  </w:style>
  <w:style w:type="table" w:styleId="73">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24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74">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4F81BD" w:themeFill="accent1"/>
      </w:tcPr>
    </w:tblStylePr>
    <w:tblStylePr w:type="lastRow">
      <w:pPr>
        <w:spacing w:before="0" w:after="0" w:line="240" w:lineRule="auto"/>
      </w:pPr>
      <w:rPr>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75">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C0504D" w:themeFill="accent2"/>
      </w:tcPr>
    </w:tblStylePr>
    <w:tblStylePr w:type="lastRow">
      <w:pPr>
        <w:spacing w:before="0" w:after="0" w:line="240" w:lineRule="auto"/>
      </w:pPr>
      <w:rPr>
        <w:b/>
        <w:bCs/>
      </w:r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76">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9BBB59" w:themeFill="accent3"/>
      </w:tcPr>
    </w:tblStylePr>
    <w:tblStylePr w:type="lastRow">
      <w:pPr>
        <w:spacing w:before="0" w:after="0" w:line="240" w:lineRule="auto"/>
      </w:pPr>
      <w:rPr>
        <w:b/>
        <w:bCs/>
      </w:r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77">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8064A2" w:themeFill="accent4"/>
      </w:tcPr>
    </w:tblStylePr>
    <w:tblStylePr w:type="lastRow">
      <w:pPr>
        <w:spacing w:before="0" w:after="0" w:line="240" w:lineRule="auto"/>
      </w:pPr>
      <w:rPr>
        <w:b/>
        <w:bCs/>
      </w:r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78">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4BACC6" w:themeFill="accent5"/>
      </w:tcPr>
    </w:tblStylePr>
    <w:tblStylePr w:type="lastRow">
      <w:pPr>
        <w:spacing w:before="0" w:after="0" w:line="240" w:lineRule="auto"/>
      </w:pPr>
      <w:rPr>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79">
    <w:name w:val="Light List Accent 6"/>
    <w:basedOn w:val="1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F79646" w:themeFill="accent6"/>
      </w:tcPr>
    </w:tblStylePr>
    <w:tblStylePr w:type="lastRow">
      <w:pPr>
        <w:spacing w:before="0" w:after="0" w:line="240" w:lineRule="auto"/>
      </w:pPr>
      <w:rPr>
        <w:b/>
        <w:bCs/>
      </w:r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80">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81">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82">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83">
    <w:name w:val="Light Grid Accent 3"/>
    <w:basedOn w:val="1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84">
    <w:name w:val="Light Grid Accent 4"/>
    <w:basedOn w:val="1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85">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86">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87">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styleId="88">
    <w:name w:val="Medium Shading 1 Accent 1"/>
    <w:basedOn w:val="1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3DFEE" w:themeFill="accent1" w:themeFillTint="3F"/>
      </w:tcPr>
    </w:tblStylePr>
    <w:tblStylePr w:type="band1Horz">
      <w:tcPr>
        <w:tcBorders>
          <w:insideH w:val="nil"/>
          <w:insideV w:val="nil"/>
        </w:tcBorders>
        <w:shd w:val="clear" w:color="auto" w:fill="D3DFEE" w:themeFill="accent1" w:themeFillTint="3F"/>
      </w:tcPr>
    </w:tblStylePr>
    <w:tblStylePr w:type="band2Horz">
      <w:tcPr>
        <w:tcBorders>
          <w:insideH w:val="nil"/>
          <w:insideV w:val="nil"/>
        </w:tcBorders>
      </w:tcPr>
    </w:tblStylePr>
  </w:style>
  <w:style w:type="table" w:styleId="89">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cPr>
        <w:shd w:val="clear" w:color="auto" w:fill="EFD3D3" w:themeFill="accent2" w:themeFillTint="3F"/>
      </w:tcPr>
    </w:tblStylePr>
    <w:tblStylePr w:type="band1Horz">
      <w:tcPr>
        <w:tcBorders>
          <w:insideH w:val="nil"/>
          <w:insideV w:val="nil"/>
        </w:tcBorders>
        <w:shd w:val="clear" w:color="auto" w:fill="EFD3D3" w:themeFill="accent2" w:themeFillTint="3F"/>
      </w:tcPr>
    </w:tblStylePr>
    <w:tblStylePr w:type="band2Horz">
      <w:tcPr>
        <w:tcBorders>
          <w:insideH w:val="nil"/>
          <w:insideV w:val="nil"/>
        </w:tcBorders>
      </w:tcPr>
    </w:tblStylePr>
  </w:style>
  <w:style w:type="table" w:styleId="90">
    <w:name w:val="Medium Shading 1 Accent 3"/>
    <w:basedOn w:val="1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cPr>
        <w:shd w:val="clear" w:color="auto" w:fill="E6EED5" w:themeFill="accent3" w:themeFillTint="3F"/>
      </w:tcPr>
    </w:tblStylePr>
    <w:tblStylePr w:type="band1Horz">
      <w:tcPr>
        <w:tcBorders>
          <w:insideH w:val="nil"/>
          <w:insideV w:val="nil"/>
        </w:tcBorders>
        <w:shd w:val="clear" w:color="auto" w:fill="E6EED5" w:themeFill="accent3" w:themeFillTint="3F"/>
      </w:tcPr>
    </w:tblStylePr>
    <w:tblStylePr w:type="band2Horz">
      <w:tcPr>
        <w:tcBorders>
          <w:insideH w:val="nil"/>
          <w:insideV w:val="nil"/>
        </w:tcBorders>
      </w:tcPr>
    </w:tblStylePr>
  </w:style>
  <w:style w:type="table" w:styleId="91">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cPr>
        <w:shd w:val="clear" w:color="auto" w:fill="DFD8E8" w:themeFill="accent4" w:themeFillTint="3F"/>
      </w:tcPr>
    </w:tblStylePr>
    <w:tblStylePr w:type="band1Horz">
      <w:tcPr>
        <w:tcBorders>
          <w:insideH w:val="nil"/>
          <w:insideV w:val="nil"/>
        </w:tcBorders>
        <w:shd w:val="clear" w:color="auto" w:fill="DFD8E8" w:themeFill="accent4" w:themeFillTint="3F"/>
      </w:tcPr>
    </w:tblStylePr>
    <w:tblStylePr w:type="band2Horz">
      <w:tcPr>
        <w:tcBorders>
          <w:insideH w:val="nil"/>
          <w:insideV w:val="nil"/>
        </w:tcBorders>
      </w:tcPr>
    </w:tblStylePr>
  </w:style>
  <w:style w:type="table" w:styleId="92">
    <w:name w:val="Medium Shading 1 Accent 5"/>
    <w:basedOn w:val="1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cPr>
        <w:shd w:val="clear" w:color="auto" w:fill="D2EAF0" w:themeFill="accent5" w:themeFillTint="3F"/>
      </w:tcPr>
    </w:tblStylePr>
    <w:tblStylePr w:type="band1Horz">
      <w:tcPr>
        <w:tcBorders>
          <w:insideH w:val="nil"/>
          <w:insideV w:val="nil"/>
        </w:tcBorders>
        <w:shd w:val="clear" w:color="auto" w:fill="D2EAF0" w:themeFill="accent5" w:themeFillTint="3F"/>
      </w:tcPr>
    </w:tblStylePr>
    <w:tblStylePr w:type="band2Horz">
      <w:tcPr>
        <w:tcBorders>
          <w:insideH w:val="nil"/>
          <w:insideV w:val="nil"/>
        </w:tcBorders>
      </w:tcPr>
    </w:tblStylePr>
  </w:style>
  <w:style w:type="table" w:styleId="93">
    <w:name w:val="Medium Shading 1 Accent 6"/>
    <w:basedOn w:val="1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cPr>
        <w:shd w:val="clear" w:color="auto" w:fill="FDE5D1" w:themeFill="accent6" w:themeFillTint="3F"/>
      </w:tcPr>
    </w:tblStylePr>
    <w:tblStylePr w:type="band1Horz">
      <w:tcPr>
        <w:tcBorders>
          <w:insideH w:val="nil"/>
          <w:insideV w:val="nil"/>
        </w:tcBorders>
        <w:shd w:val="clear" w:color="auto" w:fill="FDE5D1" w:themeFill="accent6" w:themeFillTint="3F"/>
      </w:tcPr>
    </w:tblStylePr>
    <w:tblStylePr w:type="band2Horz">
      <w:tcPr>
        <w:tcBorders>
          <w:insideH w:val="nil"/>
          <w:insideV w:val="nil"/>
        </w:tcBorders>
      </w:tcPr>
    </w:tblStylePr>
  </w:style>
  <w:style w:type="table" w:styleId="94">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5">
    <w:name w:val="Medium Shading 2 Accent 1"/>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F81BD"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6">
    <w:name w:val="Medium Shading 2 Accent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C0504D" w:themeFill="accent2"/>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7">
    <w:name w:val="Medium Shading 2 Accent 3"/>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9BBB59" w:themeFill="accent3"/>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8">
    <w:name w:val="Medium Shading 2 Accent 4"/>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8064A2" w:themeFill="accent4"/>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99">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BACC6" w:themeFill="accent5"/>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0">
    <w:name w:val="Medium Shading 2 Accent 6"/>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F79646" w:themeFill="accent6"/>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styleId="101">
    <w:name w:val="Medium List 1"/>
    <w:basedOn w:val="1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1F497D"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styleId="102">
    <w:name w:val="Medium List 1 Accent 1"/>
    <w:basedOn w:val="1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F81BD" w:themeColor="accent1" w:sz="8" w:space="0"/>
        </w:tcBorders>
      </w:tcPr>
    </w:tblStylePr>
    <w:tblStylePr w:type="lastRow">
      <w:rPr>
        <w:b/>
        <w:bCs/>
        <w:color w:val="1F497D" w:themeColor="text2"/>
        <w14:textFill>
          <w14:solidFill>
            <w14:schemeClr w14:val="tx2"/>
          </w14:solidFill>
        </w14:textFill>
      </w:rPr>
      <w:tcPr>
        <w:tcBorders>
          <w:top w:val="single" w:color="4F81BD" w:themeColor="accent1" w:sz="8" w:space="0"/>
          <w:bottom w:val="single" w:color="4F81BD" w:themeColor="accent1" w:sz="8" w:space="0"/>
        </w:tcBorders>
      </w:tcPr>
    </w:tblStylePr>
    <w:tblStylePr w:type="firstCol">
      <w:rPr>
        <w:b/>
        <w:bCs/>
      </w:rPr>
    </w:tblStylePr>
    <w:tblStylePr w:type="lastCol">
      <w:rPr>
        <w:b/>
        <w:bCs/>
      </w:rPr>
      <w:tcPr>
        <w:tcBorders>
          <w:top w:val="single" w:color="4F81BD" w:themeColor="accent1" w:sz="8" w:space="0"/>
          <w:bottom w:val="single" w:color="4F81BD" w:themeColor="accent1" w:sz="8" w:space="0"/>
        </w:tcBorders>
      </w:tcPr>
    </w:tblStylePr>
    <w:tblStylePr w:type="band1Vert">
      <w:tcPr>
        <w:shd w:val="clear" w:color="auto" w:fill="D3DFEE" w:themeFill="accent1" w:themeFillTint="3F"/>
      </w:tcPr>
    </w:tblStylePr>
    <w:tblStylePr w:type="band1Horz">
      <w:tcPr>
        <w:shd w:val="clear" w:color="auto" w:fill="D3DFEE" w:themeFill="accent1" w:themeFillTint="3F"/>
      </w:tcPr>
    </w:tblStylePr>
  </w:style>
  <w:style w:type="table" w:styleId="103">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C0504D" w:themeColor="accent2" w:sz="8" w:space="0"/>
        </w:tcBorders>
      </w:tcPr>
    </w:tblStylePr>
    <w:tblStylePr w:type="lastRow">
      <w:rPr>
        <w:b/>
        <w:bCs/>
        <w:color w:val="1F497D" w:themeColor="text2"/>
        <w14:textFill>
          <w14:solidFill>
            <w14:schemeClr w14:val="tx2"/>
          </w14:solidFill>
        </w14:textFill>
      </w:rPr>
      <w:tcPr>
        <w:tcBorders>
          <w:top w:val="single" w:color="C0504D" w:themeColor="accent2" w:sz="8" w:space="0"/>
          <w:bottom w:val="single" w:color="C0504D" w:themeColor="accent2" w:sz="8" w:space="0"/>
        </w:tcBorders>
      </w:tcPr>
    </w:tblStylePr>
    <w:tblStylePr w:type="firstCol">
      <w:rPr>
        <w:b/>
        <w:bCs/>
      </w:rPr>
    </w:tblStylePr>
    <w:tblStylePr w:type="lastCol">
      <w:rPr>
        <w:b/>
        <w:bCs/>
      </w:rPr>
      <w:tcPr>
        <w:tcBorders>
          <w:top w:val="single" w:color="C0504D" w:themeColor="accent2" w:sz="8" w:space="0"/>
          <w:bottom w:val="single" w:color="C0504D" w:themeColor="accent2" w:sz="8" w:space="0"/>
        </w:tcBorders>
      </w:tcPr>
    </w:tblStylePr>
    <w:tblStylePr w:type="band1Vert">
      <w:tcPr>
        <w:shd w:val="clear" w:color="auto" w:fill="EFD3D3" w:themeFill="accent2" w:themeFillTint="3F"/>
      </w:tcPr>
    </w:tblStylePr>
    <w:tblStylePr w:type="band1Horz">
      <w:tcPr>
        <w:shd w:val="clear" w:color="auto" w:fill="EFD3D3" w:themeFill="accent2" w:themeFillTint="3F"/>
      </w:tcPr>
    </w:tblStylePr>
  </w:style>
  <w:style w:type="table" w:styleId="104">
    <w:name w:val="Medium List 1 Accent 3"/>
    <w:basedOn w:val="1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9BBB59" w:themeColor="accent3" w:sz="8" w:space="0"/>
        </w:tcBorders>
      </w:tcPr>
    </w:tblStylePr>
    <w:tblStylePr w:type="lastRow">
      <w:rPr>
        <w:b/>
        <w:bCs/>
        <w:color w:val="1F497D" w:themeColor="text2"/>
        <w14:textFill>
          <w14:solidFill>
            <w14:schemeClr w14:val="tx2"/>
          </w14:solidFill>
        </w14:textFill>
      </w:rPr>
      <w:tcPr>
        <w:tcBorders>
          <w:top w:val="single" w:color="9BBB59" w:themeColor="accent3" w:sz="8" w:space="0"/>
          <w:bottom w:val="single" w:color="9BBB59" w:themeColor="accent3" w:sz="8" w:space="0"/>
        </w:tcBorders>
      </w:tcPr>
    </w:tblStylePr>
    <w:tblStylePr w:type="firstCol">
      <w:rPr>
        <w:b/>
        <w:bCs/>
      </w:rPr>
    </w:tblStylePr>
    <w:tblStylePr w:type="lastCol">
      <w:rPr>
        <w:b/>
        <w:bCs/>
      </w:rPr>
      <w:tcPr>
        <w:tcBorders>
          <w:top w:val="single" w:color="9BBB59" w:themeColor="accent3" w:sz="8" w:space="0"/>
          <w:bottom w:val="single" w:color="9BBB59" w:themeColor="accent3" w:sz="8" w:space="0"/>
        </w:tcBorders>
      </w:tcPr>
    </w:tblStylePr>
    <w:tblStylePr w:type="band1Vert">
      <w:tcPr>
        <w:shd w:val="clear" w:color="auto" w:fill="E6EED5" w:themeFill="accent3" w:themeFillTint="3F"/>
      </w:tcPr>
    </w:tblStylePr>
    <w:tblStylePr w:type="band1Horz">
      <w:tcPr>
        <w:shd w:val="clear" w:color="auto" w:fill="E6EED5" w:themeFill="accent3" w:themeFillTint="3F"/>
      </w:tcPr>
    </w:tblStylePr>
  </w:style>
  <w:style w:type="table" w:styleId="105">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8064A2" w:themeColor="accent4" w:sz="8" w:space="0"/>
        </w:tcBorders>
      </w:tcPr>
    </w:tblStylePr>
    <w:tblStylePr w:type="lastRow">
      <w:rPr>
        <w:b/>
        <w:bCs/>
        <w:color w:val="1F497D" w:themeColor="text2"/>
        <w14:textFill>
          <w14:solidFill>
            <w14:schemeClr w14:val="tx2"/>
          </w14:solidFill>
        </w14:textFill>
      </w:rPr>
      <w:tcPr>
        <w:tcBorders>
          <w:top w:val="single" w:color="8064A2" w:themeColor="accent4" w:sz="8" w:space="0"/>
          <w:bottom w:val="single" w:color="8064A2" w:themeColor="accent4" w:sz="8" w:space="0"/>
        </w:tcBorders>
      </w:tcPr>
    </w:tblStylePr>
    <w:tblStylePr w:type="firstCol">
      <w:rPr>
        <w:b/>
        <w:bCs/>
      </w:rPr>
    </w:tblStylePr>
    <w:tblStylePr w:type="lastCol">
      <w:rPr>
        <w:b/>
        <w:bCs/>
      </w:rPr>
      <w:tcPr>
        <w:tcBorders>
          <w:top w:val="single" w:color="8064A2" w:themeColor="accent4" w:sz="8" w:space="0"/>
          <w:bottom w:val="single" w:color="8064A2" w:themeColor="accent4" w:sz="8" w:space="0"/>
        </w:tcBorders>
      </w:tcPr>
    </w:tblStylePr>
    <w:tblStylePr w:type="band1Vert">
      <w:tcPr>
        <w:shd w:val="clear" w:color="auto" w:fill="DFD8E8" w:themeFill="accent4" w:themeFillTint="3F"/>
      </w:tcPr>
    </w:tblStylePr>
    <w:tblStylePr w:type="band1Horz">
      <w:tcPr>
        <w:shd w:val="clear" w:color="auto" w:fill="DFD8E8" w:themeFill="accent4" w:themeFillTint="3F"/>
      </w:tcPr>
    </w:tblStylePr>
  </w:style>
  <w:style w:type="table" w:styleId="106">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BACC6" w:themeColor="accent5" w:sz="8" w:space="0"/>
        </w:tcBorders>
      </w:tcPr>
    </w:tblStylePr>
    <w:tblStylePr w:type="lastRow">
      <w:rPr>
        <w:b/>
        <w:bCs/>
        <w:color w:val="1F497D" w:themeColor="text2"/>
        <w14:textFill>
          <w14:solidFill>
            <w14:schemeClr w14:val="tx2"/>
          </w14:solidFill>
        </w14:textFill>
      </w:rPr>
      <w:tcPr>
        <w:tcBorders>
          <w:top w:val="single" w:color="4BACC6" w:themeColor="accent5" w:sz="8" w:space="0"/>
          <w:bottom w:val="single" w:color="4BACC6" w:themeColor="accent5" w:sz="8" w:space="0"/>
        </w:tcBorders>
      </w:tcPr>
    </w:tblStylePr>
    <w:tblStylePr w:type="firstCol">
      <w:rPr>
        <w:b/>
        <w:bCs/>
      </w:rPr>
    </w:tblStylePr>
    <w:tblStylePr w:type="lastCol">
      <w:rPr>
        <w:b/>
        <w:bCs/>
      </w:rPr>
      <w:tcPr>
        <w:tcBorders>
          <w:top w:val="single" w:color="4BACC6" w:themeColor="accent5" w:sz="8" w:space="0"/>
          <w:bottom w:val="single" w:color="4BACC6" w:themeColor="accent5" w:sz="8" w:space="0"/>
        </w:tcBorders>
      </w:tcPr>
    </w:tblStylePr>
    <w:tblStylePr w:type="band1Vert">
      <w:tcPr>
        <w:shd w:val="clear" w:color="auto" w:fill="D2EAF0" w:themeFill="accent5" w:themeFillTint="3F"/>
      </w:tcPr>
    </w:tblStylePr>
    <w:tblStylePr w:type="band1Horz">
      <w:tcPr>
        <w:shd w:val="clear" w:color="auto" w:fill="D2EAF0" w:themeFill="accent5" w:themeFillTint="3F"/>
      </w:tcPr>
    </w:tblStylePr>
  </w:style>
  <w:style w:type="table" w:styleId="107">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F79646" w:themeColor="accent6" w:sz="8" w:space="0"/>
        </w:tcBorders>
      </w:tcPr>
    </w:tblStylePr>
    <w:tblStylePr w:type="lastRow">
      <w:rPr>
        <w:b/>
        <w:bCs/>
        <w:color w:val="1F497D" w:themeColor="text2"/>
        <w14:textFill>
          <w14:solidFill>
            <w14:schemeClr w14:val="tx2"/>
          </w14:solidFill>
        </w14:textFill>
      </w:rPr>
      <w:tcPr>
        <w:tcBorders>
          <w:top w:val="single" w:color="F79646" w:themeColor="accent6" w:sz="8" w:space="0"/>
          <w:bottom w:val="single" w:color="F79646" w:themeColor="accent6" w:sz="8" w:space="0"/>
        </w:tcBorders>
      </w:tcPr>
    </w:tblStylePr>
    <w:tblStylePr w:type="firstCol">
      <w:rPr>
        <w:b/>
        <w:bCs/>
      </w:rPr>
    </w:tblStylePr>
    <w:tblStylePr w:type="lastCol">
      <w:rPr>
        <w:b/>
        <w:bCs/>
      </w:rPr>
      <w:tcPr>
        <w:tcBorders>
          <w:top w:val="single" w:color="F79646" w:themeColor="accent6" w:sz="8" w:space="0"/>
          <w:bottom w:val="single" w:color="F79646" w:themeColor="accent6" w:sz="8" w:space="0"/>
        </w:tcBorders>
      </w:tcPr>
    </w:tblStylePr>
    <w:tblStylePr w:type="band1Vert">
      <w:tcPr>
        <w:shd w:val="clear" w:color="auto" w:fill="FDE5D1" w:themeFill="accent6" w:themeFillTint="3F"/>
      </w:tcPr>
    </w:tblStylePr>
    <w:tblStylePr w:type="band1Horz">
      <w:tcPr>
        <w:shd w:val="clear" w:color="auto" w:fill="FDE5D1" w:themeFill="accent6" w:themeFillTint="3F"/>
      </w:tcPr>
    </w:tblStylePr>
  </w:style>
  <w:style w:type="table" w:styleId="108">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styleId="109">
    <w:name w:val="Medium List 2 Accent 1"/>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cPr>
        <w:tcBorders>
          <w:top w:val="nil"/>
          <w:left w:val="nil"/>
          <w:bottom w:val="single" w:color="4F81BD" w:themeColor="accent1" w:sz="24" w:space="0"/>
          <w:right w:val="nil"/>
          <w:insideH w:val="nil"/>
          <w:insideV w:val="nil"/>
        </w:tcBorders>
        <w:shd w:val="clear" w:color="auto" w:fill="FFFFFF" w:themeFill="background1"/>
      </w:tcPr>
    </w:tblStylePr>
    <w:tblStylePr w:type="lastRow">
      <w:tcPr>
        <w:tcBorders>
          <w:top w:val="single" w:color="4F81BD" w:themeColor="accen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4F81BD" w:themeColor="accent1" w:sz="8" w:space="0"/>
          <w:insideH w:val="nil"/>
          <w:insideV w:val="nil"/>
        </w:tcBorders>
        <w:shd w:val="clear" w:color="auto" w:fill="FFFFFF" w:themeFill="background1"/>
      </w:tcPr>
    </w:tblStylePr>
    <w:tblStylePr w:type="lastCol">
      <w:tcPr>
        <w:tcBorders>
          <w:top w:val="nil"/>
          <w:left w:val="single" w:color="4F81BD" w:themeColor="accen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3DFEE" w:themeFill="accent1" w:themeFillTint="3F"/>
      </w:tcPr>
    </w:tblStylePr>
    <w:tblStylePr w:type="band1Horz">
      <w:tcPr>
        <w:tcBorders>
          <w:top w:val="nil"/>
          <w:bottom w:val="nil"/>
          <w:insideH w:val="nil"/>
          <w:insideV w:val="nil"/>
        </w:tcBorders>
        <w:shd w:val="clear" w:color="auto" w:fill="D3DFEE" w:themeFill="accent1" w:themeFillTint="3F"/>
      </w:tcPr>
    </w:tblStylePr>
    <w:tblStylePr w:type="nwCell">
      <w:tcPr>
        <w:shd w:val="clear" w:color="auto" w:fill="FFFFFF" w:themeFill="background1"/>
      </w:tcPr>
    </w:tblStylePr>
    <w:tblStylePr w:type="swCell">
      <w:tcPr>
        <w:tcBorders>
          <w:top w:val="nil"/>
        </w:tcBorders>
      </w:tcPr>
    </w:tblStylePr>
  </w:style>
  <w:style w:type="table" w:styleId="110">
    <w:name w:val="Medium List 2 Accen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cPr>
        <w:tcBorders>
          <w:top w:val="nil"/>
          <w:left w:val="nil"/>
          <w:bottom w:val="single" w:color="C0504D" w:themeColor="accent2" w:sz="24" w:space="0"/>
          <w:right w:val="nil"/>
          <w:insideH w:val="nil"/>
          <w:insideV w:val="nil"/>
        </w:tcBorders>
        <w:shd w:val="clear" w:color="auto" w:fill="FFFFFF" w:themeFill="background1"/>
      </w:tcPr>
    </w:tblStylePr>
    <w:tblStylePr w:type="lastRow">
      <w:tcPr>
        <w:tcBorders>
          <w:top w:val="single" w:color="C0504D" w:themeColor="accent2"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C0504D" w:themeColor="accent2" w:sz="8" w:space="0"/>
          <w:insideH w:val="nil"/>
          <w:insideV w:val="nil"/>
        </w:tcBorders>
        <w:shd w:val="clear" w:color="auto" w:fill="FFFFFF" w:themeFill="background1"/>
      </w:tcPr>
    </w:tblStylePr>
    <w:tblStylePr w:type="lastCol">
      <w:tcPr>
        <w:tcBorders>
          <w:top w:val="nil"/>
          <w:left w:val="single" w:color="C0504D" w:themeColor="accent2"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EFD3D3" w:themeFill="accent2" w:themeFillTint="3F"/>
      </w:tcPr>
    </w:tblStylePr>
    <w:tblStylePr w:type="band1Horz">
      <w:tcPr>
        <w:tcBorders>
          <w:top w:val="nil"/>
          <w:bottom w:val="nil"/>
          <w:insideH w:val="nil"/>
          <w:insideV w:val="nil"/>
        </w:tcBorders>
        <w:shd w:val="clear" w:color="auto" w:fill="EFD3D3" w:themeFill="accent2" w:themeFillTint="3F"/>
      </w:tcPr>
    </w:tblStylePr>
    <w:tblStylePr w:type="nwCell">
      <w:tcPr>
        <w:shd w:val="clear" w:color="auto" w:fill="FFFFFF" w:themeFill="background1"/>
      </w:tcPr>
    </w:tblStylePr>
    <w:tblStylePr w:type="swCell">
      <w:tcPr>
        <w:tcBorders>
          <w:top w:val="nil"/>
        </w:tcBorders>
      </w:tcPr>
    </w:tblStylePr>
  </w:style>
  <w:style w:type="table" w:styleId="111">
    <w:name w:val="Medium List 2 Accent 3"/>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cPr>
        <w:tcBorders>
          <w:top w:val="nil"/>
          <w:left w:val="nil"/>
          <w:bottom w:val="single" w:color="9BBB59" w:themeColor="accent3" w:sz="24" w:space="0"/>
          <w:right w:val="nil"/>
          <w:insideH w:val="nil"/>
          <w:insideV w:val="nil"/>
        </w:tcBorders>
        <w:shd w:val="clear" w:color="auto" w:fill="FFFFFF" w:themeFill="background1"/>
      </w:tcPr>
    </w:tblStylePr>
    <w:tblStylePr w:type="lastRow">
      <w:tcPr>
        <w:tcBorders>
          <w:top w:val="single" w:color="9BBB59" w:themeColor="accent3"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9BBB59" w:themeColor="accent3" w:sz="8" w:space="0"/>
          <w:insideH w:val="nil"/>
          <w:insideV w:val="nil"/>
        </w:tcBorders>
        <w:shd w:val="clear" w:color="auto" w:fill="FFFFFF" w:themeFill="background1"/>
      </w:tcPr>
    </w:tblStylePr>
    <w:tblStylePr w:type="lastCol">
      <w:tcPr>
        <w:tcBorders>
          <w:top w:val="nil"/>
          <w:left w:val="single" w:color="9BBB59" w:themeColor="accent3"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E6EED5" w:themeFill="accent3" w:themeFillTint="3F"/>
      </w:tcPr>
    </w:tblStylePr>
    <w:tblStylePr w:type="band1Horz">
      <w:tcPr>
        <w:tcBorders>
          <w:top w:val="nil"/>
          <w:bottom w:val="nil"/>
          <w:insideH w:val="nil"/>
          <w:insideV w:val="nil"/>
        </w:tcBorders>
        <w:shd w:val="clear" w:color="auto" w:fill="E6EED5" w:themeFill="accent3" w:themeFillTint="3F"/>
      </w:tcPr>
    </w:tblStylePr>
    <w:tblStylePr w:type="nwCell">
      <w:tcPr>
        <w:shd w:val="clear" w:color="auto" w:fill="FFFFFF" w:themeFill="background1"/>
      </w:tcPr>
    </w:tblStylePr>
    <w:tblStylePr w:type="swCell">
      <w:tcPr>
        <w:tcBorders>
          <w:top w:val="nil"/>
        </w:tcBorders>
      </w:tcPr>
    </w:tblStylePr>
  </w:style>
  <w:style w:type="table" w:styleId="112">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cPr>
        <w:tcBorders>
          <w:top w:val="nil"/>
          <w:left w:val="nil"/>
          <w:bottom w:val="single" w:color="8064A2" w:themeColor="accent4" w:sz="24" w:space="0"/>
          <w:right w:val="nil"/>
          <w:insideH w:val="nil"/>
          <w:insideV w:val="nil"/>
        </w:tcBorders>
        <w:shd w:val="clear" w:color="auto" w:fill="FFFFFF" w:themeFill="background1"/>
      </w:tcPr>
    </w:tblStylePr>
    <w:tblStylePr w:type="lastRow">
      <w:tcPr>
        <w:tcBorders>
          <w:top w:val="single" w:color="8064A2" w:themeColor="accent4"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8064A2" w:themeColor="accent4" w:sz="8" w:space="0"/>
          <w:insideH w:val="nil"/>
          <w:insideV w:val="nil"/>
        </w:tcBorders>
        <w:shd w:val="clear" w:color="auto" w:fill="FFFFFF" w:themeFill="background1"/>
      </w:tcPr>
    </w:tblStylePr>
    <w:tblStylePr w:type="lastCol">
      <w:tcPr>
        <w:tcBorders>
          <w:top w:val="nil"/>
          <w:left w:val="single" w:color="8064A2" w:themeColor="accent4"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FD8E8" w:themeFill="accent4" w:themeFillTint="3F"/>
      </w:tcPr>
    </w:tblStylePr>
    <w:tblStylePr w:type="band1Horz">
      <w:tcPr>
        <w:tcBorders>
          <w:top w:val="nil"/>
          <w:bottom w:val="nil"/>
          <w:insideH w:val="nil"/>
          <w:insideV w:val="nil"/>
        </w:tcBorders>
        <w:shd w:val="clear" w:color="auto" w:fill="DFD8E8" w:themeFill="accent4" w:themeFillTint="3F"/>
      </w:tcPr>
    </w:tblStylePr>
    <w:tblStylePr w:type="nwCell">
      <w:tcPr>
        <w:shd w:val="clear" w:color="auto" w:fill="FFFFFF" w:themeFill="background1"/>
      </w:tcPr>
    </w:tblStylePr>
    <w:tblStylePr w:type="swCell">
      <w:tcPr>
        <w:tcBorders>
          <w:top w:val="nil"/>
        </w:tcBorders>
      </w:tcPr>
    </w:tblStylePr>
  </w:style>
  <w:style w:type="table" w:styleId="113">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cPr>
        <w:tcBorders>
          <w:top w:val="nil"/>
          <w:left w:val="nil"/>
          <w:bottom w:val="single" w:color="4BACC6" w:themeColor="accent5" w:sz="24" w:space="0"/>
          <w:right w:val="nil"/>
          <w:insideH w:val="nil"/>
          <w:insideV w:val="nil"/>
        </w:tcBorders>
        <w:shd w:val="clear" w:color="auto" w:fill="FFFFFF" w:themeFill="background1"/>
      </w:tcPr>
    </w:tblStylePr>
    <w:tblStylePr w:type="lastRow">
      <w:tcPr>
        <w:tcBorders>
          <w:top w:val="single" w:color="4BACC6" w:themeColor="accent5"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4BACC6" w:themeColor="accent5" w:sz="8" w:space="0"/>
          <w:insideH w:val="nil"/>
          <w:insideV w:val="nil"/>
        </w:tcBorders>
        <w:shd w:val="clear" w:color="auto" w:fill="FFFFFF" w:themeFill="background1"/>
      </w:tcPr>
    </w:tblStylePr>
    <w:tblStylePr w:type="lastCol">
      <w:tcPr>
        <w:tcBorders>
          <w:top w:val="nil"/>
          <w:left w:val="single" w:color="4BACC6" w:themeColor="accent5"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D2EAF0" w:themeFill="accent5" w:themeFillTint="3F"/>
      </w:tcPr>
    </w:tblStylePr>
    <w:tblStylePr w:type="band1Horz">
      <w:tcPr>
        <w:tcBorders>
          <w:top w:val="nil"/>
          <w:bottom w:val="nil"/>
          <w:insideH w:val="nil"/>
          <w:insideV w:val="nil"/>
        </w:tcBorders>
        <w:shd w:val="clear" w:color="auto" w:fill="D2EAF0" w:themeFill="accent5" w:themeFillTint="3F"/>
      </w:tcPr>
    </w:tblStylePr>
    <w:tblStylePr w:type="nwCell">
      <w:tcPr>
        <w:shd w:val="clear" w:color="auto" w:fill="FFFFFF" w:themeFill="background1"/>
      </w:tcPr>
    </w:tblStylePr>
    <w:tblStylePr w:type="swCell">
      <w:tcPr>
        <w:tcBorders>
          <w:top w:val="nil"/>
        </w:tcBorders>
      </w:tcPr>
    </w:tblStylePr>
  </w:style>
  <w:style w:type="table" w:styleId="114">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cPr>
        <w:tcBorders>
          <w:top w:val="nil"/>
          <w:left w:val="nil"/>
          <w:bottom w:val="single" w:color="F79646" w:themeColor="accent6" w:sz="24" w:space="0"/>
          <w:right w:val="nil"/>
          <w:insideH w:val="nil"/>
          <w:insideV w:val="nil"/>
        </w:tcBorders>
        <w:shd w:val="clear" w:color="auto" w:fill="FFFFFF" w:themeFill="background1"/>
      </w:tcPr>
    </w:tblStylePr>
    <w:tblStylePr w:type="lastRow">
      <w:tcPr>
        <w:tcBorders>
          <w:top w:val="single" w:color="F79646" w:themeColor="accent6"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F79646" w:themeColor="accent6" w:sz="8" w:space="0"/>
          <w:insideH w:val="nil"/>
          <w:insideV w:val="nil"/>
        </w:tcBorders>
        <w:shd w:val="clear" w:color="auto" w:fill="FFFFFF" w:themeFill="background1"/>
      </w:tcPr>
    </w:tblStylePr>
    <w:tblStylePr w:type="lastCol">
      <w:tcPr>
        <w:tcBorders>
          <w:top w:val="nil"/>
          <w:left w:val="single" w:color="F79646" w:themeColor="accent6"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FDE5D1" w:themeFill="accent6" w:themeFillTint="3F"/>
      </w:tcPr>
    </w:tblStylePr>
    <w:tblStylePr w:type="band1Horz">
      <w:tcPr>
        <w:tcBorders>
          <w:top w:val="nil"/>
          <w:bottom w:val="nil"/>
          <w:insideH w:val="nil"/>
          <w:insideV w:val="nil"/>
        </w:tcBorders>
        <w:shd w:val="clear" w:color="auto" w:fill="FDE5D1" w:themeFill="accent6" w:themeFillTint="3F"/>
      </w:tcPr>
    </w:tblStylePr>
    <w:tblStylePr w:type="nwCell">
      <w:tcPr>
        <w:shd w:val="clear" w:color="auto" w:fill="FFFFFF" w:themeFill="background1"/>
      </w:tcPr>
    </w:tblStylePr>
    <w:tblStylePr w:type="swCell">
      <w:tcPr>
        <w:tcBorders>
          <w:top w:val="nil"/>
        </w:tcBorders>
      </w:tcPr>
    </w:tblStylePr>
  </w:style>
  <w:style w:type="table" w:styleId="115">
    <w:name w:val="Medium Grid 1"/>
    <w:basedOn w:val="1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styleId="116">
    <w:name w:val="Medium Grid 1 Accent 1"/>
    <w:basedOn w:val="1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cPr>
        <w:tcBorders>
          <w:top w:val="single" w:color="7BA0CD" w:themeColor="accent1" w:themeTint="BF" w:sz="18" w:space="0"/>
        </w:tcBorders>
      </w:tcPr>
    </w:tblStylePr>
    <w:tblStylePr w:type="firstCol">
      <w:rPr>
        <w:b/>
        <w:bCs/>
      </w:rPr>
    </w:tblStylePr>
    <w:tblStylePr w:type="lastCol">
      <w:rPr>
        <w:b/>
        <w:bCs/>
      </w:rPr>
    </w:tblStylePr>
    <w:tblStylePr w:type="band1Vert">
      <w:tcPr>
        <w:shd w:val="clear" w:color="auto" w:fill="A7C0DE" w:themeFill="accent1" w:themeFillTint="7F"/>
      </w:tcPr>
    </w:tblStylePr>
    <w:tblStylePr w:type="band1Horz">
      <w:tcPr>
        <w:shd w:val="clear" w:color="auto" w:fill="A7C0DE" w:themeFill="accent1" w:themeFillTint="7F"/>
      </w:tcPr>
    </w:tblStylePr>
  </w:style>
  <w:style w:type="table" w:styleId="117">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cPr>
        <w:tcBorders>
          <w:top w:val="single" w:color="CF7B79" w:themeColor="accent2" w:themeTint="BF" w:sz="18" w:space="0"/>
        </w:tcBorders>
      </w:tcPr>
    </w:tblStylePr>
    <w:tblStylePr w:type="firstCol">
      <w:rPr>
        <w:b/>
        <w:bCs/>
      </w:rPr>
    </w:tblStylePr>
    <w:tblStylePr w:type="lastCol">
      <w:rPr>
        <w:b/>
        <w:bCs/>
      </w:rPr>
    </w:tblStylePr>
    <w:tblStylePr w:type="band1Vert">
      <w:tcPr>
        <w:shd w:val="clear" w:color="auto" w:fill="DFA7A6" w:themeFill="accent2" w:themeFillTint="7F"/>
      </w:tcPr>
    </w:tblStylePr>
    <w:tblStylePr w:type="band1Horz">
      <w:tcPr>
        <w:shd w:val="clear" w:color="auto" w:fill="DFA7A6" w:themeFill="accent2" w:themeFillTint="7F"/>
      </w:tcPr>
    </w:tblStylePr>
  </w:style>
  <w:style w:type="table" w:styleId="118">
    <w:name w:val="Medium Grid 1 Accent 3"/>
    <w:basedOn w:val="1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cPr>
        <w:tcBorders>
          <w:top w:val="single" w:color="B4CC82" w:themeColor="accent3" w:themeTint="BF" w:sz="18" w:space="0"/>
        </w:tcBorders>
      </w:tcPr>
    </w:tblStylePr>
    <w:tblStylePr w:type="firstCol">
      <w:rPr>
        <w:b/>
        <w:bCs/>
      </w:rPr>
    </w:tblStylePr>
    <w:tblStylePr w:type="lastCol">
      <w:rPr>
        <w:b/>
        <w:bCs/>
      </w:rPr>
    </w:tblStylePr>
    <w:tblStylePr w:type="band1Vert">
      <w:tcPr>
        <w:shd w:val="clear" w:color="auto" w:fill="CDDDAC" w:themeFill="accent3" w:themeFillTint="7F"/>
      </w:tcPr>
    </w:tblStylePr>
    <w:tblStylePr w:type="band1Horz">
      <w:tcPr>
        <w:shd w:val="clear" w:color="auto" w:fill="CDDDAC" w:themeFill="accent3" w:themeFillTint="7F"/>
      </w:tcPr>
    </w:tblStylePr>
  </w:style>
  <w:style w:type="table" w:styleId="119">
    <w:name w:val="Medium Grid 1 Accent 4"/>
    <w:basedOn w:val="1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cPr>
        <w:tcBorders>
          <w:top w:val="single" w:color="9F8AB9" w:themeColor="accent4" w:themeTint="BF" w:sz="18" w:space="0"/>
        </w:tcBorders>
      </w:tcPr>
    </w:tblStylePr>
    <w:tblStylePr w:type="firstCol">
      <w:rPr>
        <w:b/>
        <w:bCs/>
      </w:rPr>
    </w:tblStylePr>
    <w:tblStylePr w:type="lastCol">
      <w:rPr>
        <w:b/>
        <w:bCs/>
      </w:rPr>
    </w:tblStylePr>
    <w:tblStylePr w:type="band1Vert">
      <w:tcPr>
        <w:shd w:val="clear" w:color="auto" w:fill="BFB1D0" w:themeFill="accent4" w:themeFillTint="7F"/>
      </w:tcPr>
    </w:tblStylePr>
    <w:tblStylePr w:type="band1Horz">
      <w:tcPr>
        <w:shd w:val="clear" w:color="auto" w:fill="BFB1D0" w:themeFill="accent4" w:themeFillTint="7F"/>
      </w:tcPr>
    </w:tblStylePr>
  </w:style>
  <w:style w:type="table" w:styleId="120">
    <w:name w:val="Medium Grid 1 Accent 5"/>
    <w:basedOn w:val="1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cPr>
        <w:tcBorders>
          <w:top w:val="single" w:color="78C0D4" w:themeColor="accent5" w:themeTint="BF" w:sz="18" w:space="0"/>
        </w:tcBorders>
      </w:tcPr>
    </w:tblStylePr>
    <w:tblStylePr w:type="firstCol">
      <w:rPr>
        <w:b/>
        <w:bCs/>
      </w:rPr>
    </w:tblStylePr>
    <w:tblStylePr w:type="lastCol">
      <w:rPr>
        <w:b/>
        <w:bCs/>
      </w:rPr>
    </w:tblStylePr>
    <w:tblStylePr w:type="band1Vert">
      <w:tcPr>
        <w:shd w:val="clear" w:color="auto" w:fill="A5D5E2" w:themeFill="accent5" w:themeFillTint="7F"/>
      </w:tcPr>
    </w:tblStylePr>
    <w:tblStylePr w:type="band1Horz">
      <w:tcPr>
        <w:shd w:val="clear" w:color="auto" w:fill="A5D5E2" w:themeFill="accent5" w:themeFillTint="7F"/>
      </w:tcPr>
    </w:tblStylePr>
  </w:style>
  <w:style w:type="table" w:styleId="121">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cPr>
        <w:tcBorders>
          <w:top w:val="single" w:color="F9B074" w:themeColor="accent6" w:themeTint="BF" w:sz="18" w:space="0"/>
        </w:tcBorders>
      </w:tcPr>
    </w:tblStylePr>
    <w:tblStylePr w:type="firstCol">
      <w:rPr>
        <w:b/>
        <w:bCs/>
      </w:rPr>
    </w:tblStylePr>
    <w:tblStylePr w:type="lastCol">
      <w:rPr>
        <w:b/>
        <w:bCs/>
      </w:rPr>
    </w:tblStylePr>
    <w:tblStylePr w:type="band1Vert">
      <w:tcPr>
        <w:shd w:val="clear" w:color="auto" w:fill="FBCAA2" w:themeFill="accent6" w:themeFillTint="7F"/>
      </w:tcPr>
    </w:tblStylePr>
    <w:tblStylePr w:type="band1Horz">
      <w:tcPr>
        <w:shd w:val="clear" w:color="auto" w:fill="FBCAA2" w:themeFill="accent6" w:themeFillTint="7F"/>
      </w:tcPr>
    </w:tblStylePr>
  </w:style>
  <w:style w:type="table" w:styleId="122">
    <w:name w:val="Medium Grid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styleId="123">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cPr>
        <w:shd w:val="clear" w:color="auto" w:fill="EDF2F8" w:themeFill="accen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DBE5F1" w:themeFill="accent1" w:themeFillTint="33"/>
      </w:tcPr>
    </w:tblStylePr>
    <w:tblStylePr w:type="band1Vert">
      <w:tcPr>
        <w:shd w:val="clear" w:color="auto" w:fill="A7C0DE" w:themeFill="accent1" w:themeFillTint="7F"/>
      </w:tcPr>
    </w:tblStylePr>
    <w:tblStylePr w:type="band1Horz">
      <w:tcPr>
        <w:tcBorders>
          <w:insideH w:val="single" w:sz="6" w:space="0"/>
          <w:insideV w:val="single" w:sz="6" w:space="0"/>
        </w:tcBorders>
        <w:shd w:val="clear" w:color="auto" w:fill="A7C0DE" w:themeFill="accent1" w:themeFillTint="7F"/>
      </w:tcPr>
    </w:tblStylePr>
    <w:tblStylePr w:type="nwCell">
      <w:tcPr>
        <w:shd w:val="clear" w:color="auto" w:fill="FFFFFF" w:themeFill="background1"/>
      </w:tcPr>
    </w:tblStylePr>
  </w:style>
  <w:style w:type="table" w:styleId="124">
    <w:name w:val="Medium Grid 2 Accent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cPr>
        <w:shd w:val="clear" w:color="auto" w:fill="F8EDED" w:themeFill="accent2"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F2DBDB" w:themeFill="accent2" w:themeFillTint="33"/>
      </w:tcPr>
    </w:tblStylePr>
    <w:tblStylePr w:type="band1Vert">
      <w:tcPr>
        <w:shd w:val="clear" w:color="auto" w:fill="DFA7A6" w:themeFill="accent2" w:themeFillTint="7F"/>
      </w:tcPr>
    </w:tblStylePr>
    <w:tblStylePr w:type="band1Horz">
      <w:tcPr>
        <w:tcBorders>
          <w:insideH w:val="single" w:sz="6" w:space="0"/>
          <w:insideV w:val="single" w:sz="6" w:space="0"/>
        </w:tcBorders>
        <w:shd w:val="clear" w:color="auto" w:fill="DFA7A6" w:themeFill="accent2" w:themeFillTint="7F"/>
      </w:tcPr>
    </w:tblStylePr>
    <w:tblStylePr w:type="nwCell">
      <w:tcPr>
        <w:shd w:val="clear" w:color="auto" w:fill="FFFFFF" w:themeFill="background1"/>
      </w:tcPr>
    </w:tblStylePr>
  </w:style>
  <w:style w:type="table" w:styleId="125">
    <w:name w:val="Medium Grid 2 Accent 3"/>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cPr>
        <w:shd w:val="clear" w:color="auto" w:fill="F5F8EE" w:themeFill="accent3"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EAF1DD" w:themeFill="accent3" w:themeFillTint="33"/>
      </w:tcPr>
    </w:tblStylePr>
    <w:tblStylePr w:type="band1Vert">
      <w:tcPr>
        <w:shd w:val="clear" w:color="auto" w:fill="CDDDAC" w:themeFill="accent3" w:themeFillTint="7F"/>
      </w:tcPr>
    </w:tblStylePr>
    <w:tblStylePr w:type="band1Horz">
      <w:tcPr>
        <w:tcBorders>
          <w:insideH w:val="single" w:sz="6" w:space="0"/>
          <w:insideV w:val="single" w:sz="6" w:space="0"/>
        </w:tcBorders>
        <w:shd w:val="clear" w:color="auto" w:fill="CDDDAC" w:themeFill="accent3" w:themeFillTint="7F"/>
      </w:tcPr>
    </w:tblStylePr>
    <w:tblStylePr w:type="nwCell">
      <w:tcPr>
        <w:shd w:val="clear" w:color="auto" w:fill="FFFFFF" w:themeFill="background1"/>
      </w:tcPr>
    </w:tblStylePr>
  </w:style>
  <w:style w:type="table" w:styleId="126">
    <w:name w:val="Medium Grid 2 Accent 4"/>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cPr>
        <w:shd w:val="clear" w:color="auto" w:fill="F2EFF5" w:themeFill="accent4"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E5DFEC" w:themeFill="accent4" w:themeFillTint="33"/>
      </w:tcPr>
    </w:tblStylePr>
    <w:tblStylePr w:type="band1Vert">
      <w:tcPr>
        <w:shd w:val="clear" w:color="auto" w:fill="BFB1D0" w:themeFill="accent4" w:themeFillTint="7F"/>
      </w:tcPr>
    </w:tblStylePr>
    <w:tblStylePr w:type="band1Horz">
      <w:tcPr>
        <w:tcBorders>
          <w:insideH w:val="single" w:sz="6" w:space="0"/>
          <w:insideV w:val="single" w:sz="6" w:space="0"/>
        </w:tcBorders>
        <w:shd w:val="clear" w:color="auto" w:fill="BFB1D0" w:themeFill="accent4" w:themeFillTint="7F"/>
      </w:tcPr>
    </w:tblStylePr>
    <w:tblStylePr w:type="nwCell">
      <w:tcPr>
        <w:shd w:val="clear" w:color="auto" w:fill="FFFFFF" w:themeFill="background1"/>
      </w:tcPr>
    </w:tblStylePr>
  </w:style>
  <w:style w:type="table" w:styleId="127">
    <w:name w:val="Medium Grid 2 Accent 5"/>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cPr>
        <w:shd w:val="clear" w:color="auto" w:fill="EDF6F9" w:themeFill="accent5"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DAEEF3" w:themeFill="accent5" w:themeFillTint="33"/>
      </w:tcPr>
    </w:tblStylePr>
    <w:tblStylePr w:type="band1Vert">
      <w:tcPr>
        <w:shd w:val="clear" w:color="auto" w:fill="A5D5E2" w:themeFill="accent5" w:themeFillTint="7F"/>
      </w:tcPr>
    </w:tblStylePr>
    <w:tblStylePr w:type="band1Horz">
      <w:tcPr>
        <w:tcBorders>
          <w:insideH w:val="single" w:sz="6" w:space="0"/>
          <w:insideV w:val="single" w:sz="6" w:space="0"/>
        </w:tcBorders>
        <w:shd w:val="clear" w:color="auto" w:fill="A5D5E2" w:themeFill="accent5" w:themeFillTint="7F"/>
      </w:tcPr>
    </w:tblStylePr>
    <w:tblStylePr w:type="nwCell">
      <w:tcPr>
        <w:shd w:val="clear" w:color="auto" w:fill="FFFFFF" w:themeFill="background1"/>
      </w:tcPr>
    </w:tblStylePr>
  </w:style>
  <w:style w:type="table" w:styleId="128">
    <w:name w:val="Medium Grid 2 Accent 6"/>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cPr>
        <w:shd w:val="clear" w:color="auto" w:fill="FEF4EC" w:themeFill="accent6"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FDE9D9" w:themeFill="accent6" w:themeFillTint="33"/>
      </w:tcPr>
    </w:tblStylePr>
    <w:tblStylePr w:type="band1Vert">
      <w:tcPr>
        <w:shd w:val="clear" w:color="auto" w:fill="FBCAA2" w:themeFill="accent6" w:themeFillTint="7F"/>
      </w:tcPr>
    </w:tblStylePr>
    <w:tblStylePr w:type="band1Horz">
      <w:tcPr>
        <w:tcBorders>
          <w:insideH w:val="single" w:sz="6" w:space="0"/>
          <w:insideV w:val="single" w:sz="6" w:space="0"/>
        </w:tcBorders>
        <w:shd w:val="clear" w:color="auto" w:fill="FBCAA2" w:themeFill="accent6" w:themeFillTint="7F"/>
      </w:tcPr>
    </w:tblStylePr>
    <w:tblStylePr w:type="nwCell">
      <w:tcPr>
        <w:shd w:val="clear" w:color="auto" w:fill="FFFFFF" w:themeFill="background1"/>
      </w:tcPr>
    </w:tblStylePr>
  </w:style>
  <w:style w:type="table" w:styleId="129">
    <w:name w:val="Medium Grid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30">
    <w:name w:val="Medium Grid 3 Accent 1"/>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4F81BD" w:themeFill="accen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31">
    <w:name w:val="Medium Grid 3 Accent 2"/>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C0504D" w:themeFill="accent2"/>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32">
    <w:name w:val="Medium Grid 3 Accent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9BBB59" w:themeFill="accent3"/>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33">
    <w:name w:val="Medium Grid 3 Accent 4"/>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8064A2" w:themeFill="accent4"/>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34">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4BACC6" w:themeFill="accent5"/>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35">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F79646" w:themeFill="accent6"/>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36">
    <w:name w:val="Dark List"/>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styleId="137">
    <w:name w:val="Dark List Accent 1"/>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cPr>
        <w:tcBorders>
          <w:top w:val="nil"/>
          <w:left w:val="nil"/>
          <w:bottom w:val="nil"/>
          <w:right w:val="nil"/>
          <w:insideH w:val="nil"/>
          <w:insideV w:val="nil"/>
        </w:tcBorders>
        <w:shd w:val="clear" w:color="auto" w:fill="366091" w:themeFill="accent1" w:themeFillShade="BF"/>
      </w:tcPr>
    </w:tblStylePr>
    <w:tblStylePr w:type="band1Horz">
      <w:tcPr>
        <w:tcBorders>
          <w:top w:val="nil"/>
          <w:left w:val="nil"/>
          <w:bottom w:val="nil"/>
          <w:right w:val="nil"/>
          <w:insideH w:val="nil"/>
          <w:insideV w:val="nil"/>
        </w:tcBorders>
        <w:shd w:val="clear" w:color="auto" w:fill="366091" w:themeFill="accent1" w:themeFillShade="BF"/>
      </w:tcPr>
    </w:tblStylePr>
  </w:style>
  <w:style w:type="table" w:styleId="138">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cPr>
        <w:tcBorders>
          <w:top w:val="nil"/>
          <w:left w:val="nil"/>
          <w:bottom w:val="nil"/>
          <w:right w:val="nil"/>
          <w:insideH w:val="nil"/>
          <w:insideV w:val="nil"/>
        </w:tcBorders>
        <w:shd w:val="clear" w:color="auto" w:fill="943734" w:themeFill="accent2" w:themeFillShade="BF"/>
      </w:tcPr>
    </w:tblStylePr>
    <w:tblStylePr w:type="band1Horz">
      <w:tcPr>
        <w:tcBorders>
          <w:top w:val="nil"/>
          <w:left w:val="nil"/>
          <w:bottom w:val="nil"/>
          <w:right w:val="nil"/>
          <w:insideH w:val="nil"/>
          <w:insideV w:val="nil"/>
        </w:tcBorders>
        <w:shd w:val="clear" w:color="auto" w:fill="943734" w:themeFill="accent2" w:themeFillShade="BF"/>
      </w:tcPr>
    </w:tblStylePr>
  </w:style>
  <w:style w:type="table" w:styleId="139">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cPr>
        <w:tcBorders>
          <w:top w:val="nil"/>
          <w:left w:val="nil"/>
          <w:bottom w:val="nil"/>
          <w:right w:val="nil"/>
          <w:insideH w:val="nil"/>
          <w:insideV w:val="nil"/>
        </w:tcBorders>
        <w:shd w:val="clear" w:color="auto" w:fill="76923C" w:themeFill="accent3" w:themeFillShade="BF"/>
      </w:tcPr>
    </w:tblStylePr>
    <w:tblStylePr w:type="band1Horz">
      <w:tcPr>
        <w:tcBorders>
          <w:top w:val="nil"/>
          <w:left w:val="nil"/>
          <w:bottom w:val="nil"/>
          <w:right w:val="nil"/>
          <w:insideH w:val="nil"/>
          <w:insideV w:val="nil"/>
        </w:tcBorders>
        <w:shd w:val="clear" w:color="auto" w:fill="76923C" w:themeFill="accent3" w:themeFillShade="BF"/>
      </w:tcPr>
    </w:tblStylePr>
  </w:style>
  <w:style w:type="table" w:styleId="140">
    <w:name w:val="Dark List Accent 4"/>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cPr>
        <w:tcBorders>
          <w:top w:val="nil"/>
          <w:left w:val="nil"/>
          <w:bottom w:val="nil"/>
          <w:right w:val="nil"/>
          <w:insideH w:val="nil"/>
          <w:insideV w:val="nil"/>
        </w:tcBorders>
        <w:shd w:val="clear" w:color="auto" w:fill="5F497A" w:themeFill="accent4" w:themeFillShade="BF"/>
      </w:tcPr>
    </w:tblStylePr>
    <w:tblStylePr w:type="band1Horz">
      <w:tcPr>
        <w:tcBorders>
          <w:top w:val="nil"/>
          <w:left w:val="nil"/>
          <w:bottom w:val="nil"/>
          <w:right w:val="nil"/>
          <w:insideH w:val="nil"/>
          <w:insideV w:val="nil"/>
        </w:tcBorders>
        <w:shd w:val="clear" w:color="auto" w:fill="5F497A" w:themeFill="accent4" w:themeFillShade="BF"/>
      </w:tcPr>
    </w:tblStylePr>
  </w:style>
  <w:style w:type="table" w:styleId="141">
    <w:name w:val="Dark List Accent 5"/>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cPr>
        <w:tcBorders>
          <w:top w:val="nil"/>
          <w:left w:val="nil"/>
          <w:bottom w:val="nil"/>
          <w:right w:val="nil"/>
          <w:insideH w:val="nil"/>
          <w:insideV w:val="nil"/>
        </w:tcBorders>
        <w:shd w:val="clear" w:color="auto" w:fill="31849B" w:themeFill="accent5" w:themeFillShade="BF"/>
      </w:tcPr>
    </w:tblStylePr>
    <w:tblStylePr w:type="band1Horz">
      <w:tcPr>
        <w:tcBorders>
          <w:top w:val="nil"/>
          <w:left w:val="nil"/>
          <w:bottom w:val="nil"/>
          <w:right w:val="nil"/>
          <w:insideH w:val="nil"/>
          <w:insideV w:val="nil"/>
        </w:tcBorders>
        <w:shd w:val="clear" w:color="auto" w:fill="31849B" w:themeFill="accent5" w:themeFillShade="BF"/>
      </w:tcPr>
    </w:tblStylePr>
  </w:style>
  <w:style w:type="table" w:styleId="142">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cPr>
        <w:tcBorders>
          <w:top w:val="nil"/>
          <w:left w:val="nil"/>
          <w:bottom w:val="nil"/>
          <w:right w:val="nil"/>
          <w:insideH w:val="nil"/>
          <w:insideV w:val="nil"/>
        </w:tcBorders>
        <w:shd w:val="clear" w:color="auto" w:fill="E36C09" w:themeFill="accent6" w:themeFillShade="BF"/>
      </w:tcPr>
    </w:tblStylePr>
    <w:tblStylePr w:type="band1Horz">
      <w:tcPr>
        <w:tcBorders>
          <w:top w:val="nil"/>
          <w:left w:val="nil"/>
          <w:bottom w:val="nil"/>
          <w:right w:val="nil"/>
          <w:insideH w:val="nil"/>
          <w:insideV w:val="nil"/>
        </w:tcBorders>
        <w:shd w:val="clear" w:color="auto" w:fill="E36C09" w:themeFill="accent6" w:themeFillShade="BF"/>
      </w:tcPr>
    </w:tblStylePr>
  </w:style>
  <w:style w:type="table" w:styleId="143">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4">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2B4D74" w:themeFill="accent1" w:themeFillShade="99"/>
      </w:tcPr>
    </w:tblStylePr>
    <w:tblStylePr w:type="band1Vert">
      <w:tcPr>
        <w:shd w:val="clear" w:color="auto" w:fill="B8CCE4" w:themeFill="accent1" w:themeFillTint="66"/>
      </w:tcPr>
    </w:tblStylePr>
    <w:tblStylePr w:type="band1Horz">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5">
    <w:name w:val="Colorful Shading Accent 2"/>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772C2A" w:themeFill="accent2" w:themeFillShade="99"/>
      </w:tcPr>
    </w:tblStylePr>
    <w:tblStylePr w:type="band1Vert">
      <w:tcPr>
        <w:shd w:val="clear" w:color="auto" w:fill="E5B8B7" w:themeFill="accent2" w:themeFillTint="66"/>
      </w:tcPr>
    </w:tblStylePr>
    <w:tblStylePr w:type="band1Horz">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6">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5E7530" w:themeFill="accent3" w:themeFillShade="99"/>
      </w:tcPr>
    </w:tblStylePr>
    <w:tblStylePr w:type="band1Vert">
      <w:tcPr>
        <w:shd w:val="clear" w:color="auto" w:fill="D6E3BC" w:themeFill="accent3" w:themeFillTint="66"/>
      </w:tcPr>
    </w:tblStylePr>
    <w:tblStylePr w:type="band1Horz">
      <w:tcPr>
        <w:shd w:val="clear" w:color="auto" w:fill="CDDDAC" w:themeFill="accent3" w:themeFillTint="7F"/>
      </w:tcPr>
    </w:tblStylePr>
  </w:style>
  <w:style w:type="table" w:styleId="147">
    <w:name w:val="Colorful Shading Accent 4"/>
    <w:basedOn w:val="1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4C3A62" w:themeFill="accent4" w:themeFillShade="99"/>
      </w:tcPr>
    </w:tblStylePr>
    <w:tblStylePr w:type="band1Vert">
      <w:tcPr>
        <w:shd w:val="clear" w:color="auto" w:fill="CCC0D9" w:themeFill="accent4" w:themeFillTint="66"/>
      </w:tcPr>
    </w:tblStylePr>
    <w:tblStylePr w:type="band1Horz">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8">
    <w:name w:val="Colorful Shading Accent 5"/>
    <w:basedOn w:val="1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276A7C" w:themeFill="accent5" w:themeFillShade="99"/>
      </w:tcPr>
    </w:tblStylePr>
    <w:tblStylePr w:type="band1Vert">
      <w:tcPr>
        <w:shd w:val="clear" w:color="auto" w:fill="B6DDE8" w:themeFill="accent5" w:themeFillTint="66"/>
      </w:tcPr>
    </w:tblStylePr>
    <w:tblStylePr w:type="band1Horz">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49">
    <w:name w:val="Colorful Shading Accent 6"/>
    <w:basedOn w:val="1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B65607" w:themeFill="accent6" w:themeFillShade="99"/>
      </w:tcPr>
    </w:tblStylePr>
    <w:tblStylePr w:type="band1Vert">
      <w:tcPr>
        <w:shd w:val="clear" w:color="auto" w:fill="FBD4B4" w:themeFill="accent6" w:themeFillTint="66"/>
      </w:tcPr>
    </w:tblStylePr>
    <w:tblStylePr w:type="band1Horz">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50">
    <w:name w:val="Colorful List"/>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styleId="151">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3DFEE" w:themeFill="accent1" w:themeFillTint="3F"/>
      </w:tcPr>
    </w:tblStylePr>
    <w:tblStylePr w:type="band1Horz">
      <w:tcPr>
        <w:shd w:val="clear" w:color="auto" w:fill="DBE5F1" w:themeFill="accent1" w:themeFillTint="33"/>
      </w:tcPr>
    </w:tblStylePr>
  </w:style>
  <w:style w:type="table" w:styleId="152">
    <w:name w:val="Colorful List Accent 2"/>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FD3D3" w:themeFill="accent2" w:themeFillTint="3F"/>
      </w:tcPr>
    </w:tblStylePr>
    <w:tblStylePr w:type="band1Horz">
      <w:tcPr>
        <w:shd w:val="clear" w:color="auto" w:fill="F2DBDB" w:themeFill="accent2" w:themeFillTint="33"/>
      </w:tcPr>
    </w:tblStylePr>
  </w:style>
  <w:style w:type="table" w:styleId="153">
    <w:name w:val="Colorful List Accent 3"/>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E6EED5" w:themeFill="accent3" w:themeFillTint="3F"/>
      </w:tcPr>
    </w:tblStylePr>
    <w:tblStylePr w:type="band1Horz">
      <w:tcPr>
        <w:shd w:val="clear" w:color="auto" w:fill="EAF1DD" w:themeFill="accent3" w:themeFillTint="33"/>
      </w:tcPr>
    </w:tblStylePr>
  </w:style>
  <w:style w:type="table" w:styleId="154">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FD8E8" w:themeFill="accent4" w:themeFillTint="3F"/>
      </w:tcPr>
    </w:tblStylePr>
    <w:tblStylePr w:type="band1Horz">
      <w:tcPr>
        <w:shd w:val="clear" w:color="auto" w:fill="E5DFEC" w:themeFill="accent4" w:themeFillTint="33"/>
      </w:tcPr>
    </w:tblStylePr>
  </w:style>
  <w:style w:type="table" w:styleId="155">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D2EAF0" w:themeFill="accent5" w:themeFillTint="3F"/>
      </w:tcPr>
    </w:tblStylePr>
    <w:tblStylePr w:type="band1Horz">
      <w:tcPr>
        <w:shd w:val="clear" w:color="auto" w:fill="DAEEF3" w:themeFill="accent5" w:themeFillTint="33"/>
      </w:tcPr>
    </w:tblStylePr>
  </w:style>
  <w:style w:type="table" w:styleId="156">
    <w:name w:val="Colorful List Accent 6"/>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FDE5D1" w:themeFill="accent6" w:themeFillTint="3F"/>
      </w:tcPr>
    </w:tblStylePr>
    <w:tblStylePr w:type="band1Horz">
      <w:tcPr>
        <w:shd w:val="clear" w:color="auto" w:fill="FDE9D9" w:themeFill="accent6" w:themeFillTint="33"/>
      </w:tcPr>
    </w:tblStylePr>
  </w:style>
  <w:style w:type="table" w:styleId="157">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styleId="158">
    <w:name w:val="Colorful Grid Accent 1"/>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cPr>
        <w:shd w:val="clear" w:color="auto" w:fill="B8CCE4" w:themeFill="accent1" w:themeFillTint="66"/>
      </w:tcPr>
    </w:tblStylePr>
    <w:tblStylePr w:type="lastRow">
      <w:rPr>
        <w:b/>
        <w:bCs/>
        <w:color w:val="000000" w:themeColor="text1"/>
        <w14:textFill>
          <w14:solidFill>
            <w14:schemeClr w14:val="tx1"/>
          </w14:solidFill>
        </w14:textFill>
      </w:rPr>
      <w:tcPr>
        <w:shd w:val="clear" w:color="auto" w:fill="B8CCE4" w:themeFill="accent1" w:themeFillTint="66"/>
      </w:tcPr>
    </w:tblStylePr>
    <w:tblStylePr w:type="firstCol">
      <w:rPr>
        <w:color w:val="FFFFFF" w:themeColor="background1"/>
        <w14:textFill>
          <w14:solidFill>
            <w14:schemeClr w14:val="bg1"/>
          </w14:solidFill>
        </w14:textFill>
      </w:rPr>
      <w:tcPr>
        <w:shd w:val="clear" w:color="auto" w:fill="366091" w:themeFill="accent1" w:themeFillShade="BF"/>
      </w:tcPr>
    </w:tblStylePr>
    <w:tblStylePr w:type="lastCol">
      <w:rPr>
        <w:color w:val="FFFFFF" w:themeColor="background1"/>
        <w14:textFill>
          <w14:solidFill>
            <w14:schemeClr w14:val="bg1"/>
          </w14:solidFill>
        </w14:textFill>
      </w:rPr>
      <w:tcPr>
        <w:shd w:val="clear" w:color="auto" w:fill="366091" w:themeFill="accent1" w:themeFillShade="BF"/>
      </w:tcPr>
    </w:tblStylePr>
    <w:tblStylePr w:type="band1Vert">
      <w:tcPr>
        <w:shd w:val="clear" w:color="auto" w:fill="A7C0DE" w:themeFill="accent1" w:themeFillTint="7F"/>
      </w:tcPr>
    </w:tblStylePr>
    <w:tblStylePr w:type="band1Horz">
      <w:tcPr>
        <w:shd w:val="clear" w:color="auto" w:fill="A7C0DE" w:themeFill="accent1" w:themeFillTint="7F"/>
      </w:tcPr>
    </w:tblStylePr>
  </w:style>
  <w:style w:type="table" w:styleId="159">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cPr>
        <w:shd w:val="clear" w:color="auto" w:fill="E5B8B7" w:themeFill="accent2" w:themeFillTint="66"/>
      </w:tcPr>
    </w:tblStylePr>
    <w:tblStylePr w:type="lastRow">
      <w:rPr>
        <w:b/>
        <w:bCs/>
        <w:color w:val="000000" w:themeColor="text1"/>
        <w14:textFill>
          <w14:solidFill>
            <w14:schemeClr w14:val="tx1"/>
          </w14:solidFill>
        </w14:textFill>
      </w:rPr>
      <w:tcPr>
        <w:shd w:val="clear" w:color="auto" w:fill="E5B8B7" w:themeFill="accent2" w:themeFillTint="66"/>
      </w:tcPr>
    </w:tblStylePr>
    <w:tblStylePr w:type="firstCol">
      <w:rPr>
        <w:color w:val="FFFFFF" w:themeColor="background1"/>
        <w14:textFill>
          <w14:solidFill>
            <w14:schemeClr w14:val="bg1"/>
          </w14:solidFill>
        </w14:textFill>
      </w:rPr>
      <w:tcPr>
        <w:shd w:val="clear" w:color="auto" w:fill="943734" w:themeFill="accent2" w:themeFillShade="BF"/>
      </w:tcPr>
    </w:tblStylePr>
    <w:tblStylePr w:type="lastCol">
      <w:rPr>
        <w:color w:val="FFFFFF" w:themeColor="background1"/>
        <w14:textFill>
          <w14:solidFill>
            <w14:schemeClr w14:val="bg1"/>
          </w14:solidFill>
        </w14:textFill>
      </w:rPr>
      <w:tcPr>
        <w:shd w:val="clear" w:color="auto" w:fill="943734" w:themeFill="accent2" w:themeFillShade="BF"/>
      </w:tcPr>
    </w:tblStylePr>
    <w:tblStylePr w:type="band1Vert">
      <w:tcPr>
        <w:shd w:val="clear" w:color="auto" w:fill="DFA7A6" w:themeFill="accent2" w:themeFillTint="7F"/>
      </w:tcPr>
    </w:tblStylePr>
    <w:tblStylePr w:type="band1Horz">
      <w:tcPr>
        <w:shd w:val="clear" w:color="auto" w:fill="DFA7A6" w:themeFill="accent2" w:themeFillTint="7F"/>
      </w:tcPr>
    </w:tblStylePr>
  </w:style>
  <w:style w:type="table" w:styleId="160">
    <w:name w:val="Colorful Grid Accent 3"/>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cPr>
        <w:shd w:val="clear" w:color="auto" w:fill="D6E3BC" w:themeFill="accent3" w:themeFillTint="66"/>
      </w:tcPr>
    </w:tblStylePr>
    <w:tblStylePr w:type="lastRow">
      <w:rPr>
        <w:b/>
        <w:bCs/>
        <w:color w:val="000000" w:themeColor="text1"/>
        <w14:textFill>
          <w14:solidFill>
            <w14:schemeClr w14:val="tx1"/>
          </w14:solidFill>
        </w14:textFill>
      </w:rPr>
      <w:tcPr>
        <w:shd w:val="clear" w:color="auto" w:fill="D6E3BC" w:themeFill="accent3" w:themeFillTint="66"/>
      </w:tcPr>
    </w:tblStylePr>
    <w:tblStylePr w:type="firstCol">
      <w:rPr>
        <w:color w:val="FFFFFF" w:themeColor="background1"/>
        <w14:textFill>
          <w14:solidFill>
            <w14:schemeClr w14:val="bg1"/>
          </w14:solidFill>
        </w14:textFill>
      </w:rPr>
      <w:tcPr>
        <w:shd w:val="clear" w:color="auto" w:fill="76923C" w:themeFill="accent3" w:themeFillShade="BF"/>
      </w:tcPr>
    </w:tblStylePr>
    <w:tblStylePr w:type="lastCol">
      <w:rPr>
        <w:color w:val="FFFFFF" w:themeColor="background1"/>
        <w14:textFill>
          <w14:solidFill>
            <w14:schemeClr w14:val="bg1"/>
          </w14:solidFill>
        </w14:textFill>
      </w:rPr>
      <w:tcPr>
        <w:shd w:val="clear" w:color="auto" w:fill="76923C" w:themeFill="accent3" w:themeFillShade="BF"/>
      </w:tcPr>
    </w:tblStylePr>
    <w:tblStylePr w:type="band1Vert">
      <w:tcPr>
        <w:shd w:val="clear" w:color="auto" w:fill="CDDDAC" w:themeFill="accent3" w:themeFillTint="7F"/>
      </w:tcPr>
    </w:tblStylePr>
    <w:tblStylePr w:type="band1Horz">
      <w:tcPr>
        <w:shd w:val="clear" w:color="auto" w:fill="CDDDAC" w:themeFill="accent3" w:themeFillTint="7F"/>
      </w:tcPr>
    </w:tblStylePr>
  </w:style>
  <w:style w:type="table" w:styleId="161">
    <w:name w:val="Colorful Grid Accent 4"/>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cPr>
        <w:shd w:val="clear" w:color="auto" w:fill="CCC0D9" w:themeFill="accent4" w:themeFillTint="66"/>
      </w:tcPr>
    </w:tblStylePr>
    <w:tblStylePr w:type="lastRow">
      <w:rPr>
        <w:b/>
        <w:bCs/>
        <w:color w:val="000000" w:themeColor="text1"/>
        <w14:textFill>
          <w14:solidFill>
            <w14:schemeClr w14:val="tx1"/>
          </w14:solidFill>
        </w14:textFill>
      </w:rPr>
      <w:tcPr>
        <w:shd w:val="clear" w:color="auto" w:fill="CCC0D9" w:themeFill="accent4" w:themeFillTint="66"/>
      </w:tcPr>
    </w:tblStylePr>
    <w:tblStylePr w:type="firstCol">
      <w:rPr>
        <w:color w:val="FFFFFF" w:themeColor="background1"/>
        <w14:textFill>
          <w14:solidFill>
            <w14:schemeClr w14:val="bg1"/>
          </w14:solidFill>
        </w14:textFill>
      </w:rPr>
      <w:tcPr>
        <w:shd w:val="clear" w:color="auto" w:fill="5F497A" w:themeFill="accent4" w:themeFillShade="BF"/>
      </w:tcPr>
    </w:tblStylePr>
    <w:tblStylePr w:type="lastCol">
      <w:rPr>
        <w:color w:val="FFFFFF" w:themeColor="background1"/>
        <w14:textFill>
          <w14:solidFill>
            <w14:schemeClr w14:val="bg1"/>
          </w14:solidFill>
        </w14:textFill>
      </w:rPr>
      <w:tcPr>
        <w:shd w:val="clear" w:color="auto" w:fill="5F497A" w:themeFill="accent4" w:themeFillShade="BF"/>
      </w:tcPr>
    </w:tblStylePr>
    <w:tblStylePr w:type="band1Vert">
      <w:tcPr>
        <w:shd w:val="clear" w:color="auto" w:fill="BFB1D0" w:themeFill="accent4" w:themeFillTint="7F"/>
      </w:tcPr>
    </w:tblStylePr>
    <w:tblStylePr w:type="band1Horz">
      <w:tcPr>
        <w:shd w:val="clear" w:color="auto" w:fill="BFB1D0" w:themeFill="accent4" w:themeFillTint="7F"/>
      </w:tcPr>
    </w:tblStylePr>
  </w:style>
  <w:style w:type="table" w:styleId="162">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cPr>
        <w:shd w:val="clear" w:color="auto" w:fill="B6DDE8" w:themeFill="accent5" w:themeFillTint="66"/>
      </w:tcPr>
    </w:tblStylePr>
    <w:tblStylePr w:type="lastRow">
      <w:rPr>
        <w:b/>
        <w:bCs/>
        <w:color w:val="000000" w:themeColor="text1"/>
        <w14:textFill>
          <w14:solidFill>
            <w14:schemeClr w14:val="tx1"/>
          </w14:solidFill>
        </w14:textFill>
      </w:rPr>
      <w:tcPr>
        <w:shd w:val="clear" w:color="auto" w:fill="B6DDE8" w:themeFill="accent5" w:themeFillTint="66"/>
      </w:tcPr>
    </w:tblStylePr>
    <w:tblStylePr w:type="firstCol">
      <w:rPr>
        <w:color w:val="FFFFFF" w:themeColor="background1"/>
        <w14:textFill>
          <w14:solidFill>
            <w14:schemeClr w14:val="bg1"/>
          </w14:solidFill>
        </w14:textFill>
      </w:rPr>
      <w:tcPr>
        <w:shd w:val="clear" w:color="auto" w:fill="31849B" w:themeFill="accent5" w:themeFillShade="BF"/>
      </w:tcPr>
    </w:tblStylePr>
    <w:tblStylePr w:type="lastCol">
      <w:rPr>
        <w:color w:val="FFFFFF" w:themeColor="background1"/>
        <w14:textFill>
          <w14:solidFill>
            <w14:schemeClr w14:val="bg1"/>
          </w14:solidFill>
        </w14:textFill>
      </w:rPr>
      <w:tcPr>
        <w:shd w:val="clear" w:color="auto" w:fill="31849B" w:themeFill="accent5" w:themeFillShade="BF"/>
      </w:tcPr>
    </w:tblStylePr>
    <w:tblStylePr w:type="band1Vert">
      <w:tcPr>
        <w:shd w:val="clear" w:color="auto" w:fill="A5D5E2" w:themeFill="accent5" w:themeFillTint="7F"/>
      </w:tcPr>
    </w:tblStylePr>
    <w:tblStylePr w:type="band1Horz">
      <w:tcPr>
        <w:shd w:val="clear" w:color="auto" w:fill="A5D5E2" w:themeFill="accent5" w:themeFillTint="7F"/>
      </w:tcPr>
    </w:tblStylePr>
  </w:style>
  <w:style w:type="table" w:styleId="163">
    <w:name w:val="Colorful Grid Accent 6"/>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cPr>
        <w:shd w:val="clear" w:color="auto" w:fill="FBD4B4" w:themeFill="accent6" w:themeFillTint="66"/>
      </w:tcPr>
    </w:tblStylePr>
    <w:tblStylePr w:type="lastRow">
      <w:rPr>
        <w:b/>
        <w:bCs/>
        <w:color w:val="000000" w:themeColor="text1"/>
        <w14:textFill>
          <w14:solidFill>
            <w14:schemeClr w14:val="tx1"/>
          </w14:solidFill>
        </w14:textFill>
      </w:rPr>
      <w:tcPr>
        <w:shd w:val="clear" w:color="auto" w:fill="FBD4B4" w:themeFill="accent6" w:themeFillTint="66"/>
      </w:tcPr>
    </w:tblStylePr>
    <w:tblStylePr w:type="firstCol">
      <w:rPr>
        <w:color w:val="FFFFFF" w:themeColor="background1"/>
        <w14:textFill>
          <w14:solidFill>
            <w14:schemeClr w14:val="bg1"/>
          </w14:solidFill>
        </w14:textFill>
      </w:rPr>
      <w:tcPr>
        <w:shd w:val="clear" w:color="auto" w:fill="E36C09" w:themeFill="accent6" w:themeFillShade="BF"/>
      </w:tcPr>
    </w:tblStylePr>
    <w:tblStylePr w:type="lastCol">
      <w:rPr>
        <w:color w:val="FFFFFF" w:themeColor="background1"/>
        <w14:textFill>
          <w14:solidFill>
            <w14:schemeClr w14:val="bg1"/>
          </w14:solidFill>
        </w14:textFill>
      </w:rPr>
      <w:tcPr>
        <w:shd w:val="clear" w:color="auto" w:fill="E36C09" w:themeFill="accent6" w:themeFillShade="BF"/>
      </w:tcPr>
    </w:tblStylePr>
    <w:tblStylePr w:type="band1Vert">
      <w:tcPr>
        <w:shd w:val="clear" w:color="auto" w:fill="FBCAA2" w:themeFill="accent6" w:themeFillTint="7F"/>
      </w:tcPr>
    </w:tblStylePr>
    <w:tblStylePr w:type="band1Horz">
      <w:tcPr>
        <w:shd w:val="clear" w:color="auto" w:fill="FBCAA2" w:themeFill="accent6" w:themeFillTint="7F"/>
      </w:tcPr>
    </w:tblStyle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10379</Words>
  <Characters>75742</Characters>
  <Lines>0</Lines>
  <Paragraphs>0</Paragraphs>
  <TotalTime>38</TotalTime>
  <ScaleCrop>false</ScaleCrop>
  <LinksUpToDate>false</LinksUpToDate>
  <CharactersWithSpaces>85751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2026-10-07T12:00:00Z</dcterms:created>
  <dc:creator>Ирина Батуровкая</dc:creator>
  <cp:lastModifiedBy>Ирина Батуровкая</cp:lastModifiedBy>
  <dcterms:modified xsi:type="dcterms:W3CDTF">2026-10-08T14:41:50Z</dcterms:modified>
  <dc:subject>Редакция по согласованным замечаниям к договору от 08.10.2026</dc:subject>
  <dc:title>ДДУ ЖК «Онегин» — исправленная редакция</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eyJoZGlkIjoiMTFiOTg2NTcxNDc3YzMwMGYzZTdkYTNlZGFlNGIxODAiLCJ1c2VySWQiOiI4MjQ2MzQ5MzI4NDYifQ==</vt:lpwstr>
  </property>
  <property fmtid="{D5CDD505-2E9C-101B-9397-08002B2CF9AE}" pid="3" name="KSOProductBuildVer">
    <vt:lpwstr>1049-12.1.0.28485</vt:lpwstr>
  </property>
  <property fmtid="{D5CDD505-2E9C-101B-9397-08002B2CF9AE}" pid="4" name="ICV">
    <vt:lpwstr>ED5D9E9678CA4788883EE7C9D65AB443_13</vt:lpwstr>
  </property>
</Properties>
</file>