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77777777"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Тищенко Екатерины Михайловны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0799B3C7"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r w:rsidRPr="002B0EF2">
        <w:rPr>
          <w:b/>
          <w:sz w:val="24"/>
          <w:szCs w:val="24"/>
        </w:rPr>
        <w:t>«</w:t>
      </w:r>
      <w:r w:rsidR="00F54FCD">
        <w:rPr>
          <w:b/>
          <w:bCs/>
          <w:sz w:val="24"/>
          <w:szCs w:val="24"/>
        </w:rPr>
        <w:t>Многоэтажный жилой дом со встроенно-пристроенными помещениями Литер «10» в городе-герое Новороссийске, Краснодарского края</w:t>
      </w:r>
      <w:r w:rsidRPr="002B0EF2">
        <w:rPr>
          <w:b/>
          <w:sz w:val="24"/>
          <w:szCs w:val="24"/>
        </w:rPr>
        <w:t>»</w:t>
      </w:r>
      <w:r w:rsidRPr="002B0EF2">
        <w:rPr>
          <w:bCs/>
          <w:sz w:val="24"/>
          <w:szCs w:val="24"/>
        </w:rPr>
        <w:t xml:space="preserve"> по </w:t>
      </w:r>
      <w:r w:rsidRPr="00471566">
        <w:rPr>
          <w:bCs/>
          <w:sz w:val="24"/>
          <w:szCs w:val="24"/>
        </w:rPr>
        <w:t>адресу</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471566" w:rsidRPr="00471566">
        <w:rPr>
          <w:b/>
          <w:bCs/>
          <w:snapToGrid w:val="0"/>
          <w:sz w:val="24"/>
          <w:szCs w:val="24"/>
        </w:rPr>
        <w:t>Новороссийск, ул. Имени Владимира Бута, з/у 6</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15C6E944"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23-47-1005-2023</w:t>
      </w:r>
      <w:r w:rsidRPr="002B0EF2">
        <w:rPr>
          <w:b/>
          <w:sz w:val="24"/>
          <w:szCs w:val="24"/>
        </w:rPr>
        <w:t xml:space="preserve"> от </w:t>
      </w:r>
      <w:r w:rsidR="00F54FCD">
        <w:rPr>
          <w:b/>
          <w:sz w:val="24"/>
          <w:szCs w:val="24"/>
        </w:rPr>
        <w:t>10</w:t>
      </w:r>
      <w:r>
        <w:rPr>
          <w:b/>
          <w:sz w:val="24"/>
          <w:szCs w:val="24"/>
        </w:rPr>
        <w:t>.</w:t>
      </w:r>
      <w:r w:rsidR="00F54FCD">
        <w:rPr>
          <w:b/>
          <w:sz w:val="24"/>
          <w:szCs w:val="24"/>
        </w:rPr>
        <w:t>02</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33BC027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1C6CAD" w:rsidRPr="008B6F47">
        <w:rPr>
          <w:b/>
          <w:sz w:val="24"/>
          <w:szCs w:val="24"/>
        </w:rPr>
        <w:t xml:space="preserve">6 788 </w:t>
      </w:r>
      <w:r w:rsidRPr="008B6F47">
        <w:rPr>
          <w:sz w:val="24"/>
          <w:szCs w:val="24"/>
        </w:rPr>
        <w:t xml:space="preserve">кв.м., кадастровый номер </w:t>
      </w:r>
      <w:r w:rsidR="001C6CAD" w:rsidRPr="008B6F47">
        <w:rPr>
          <w:sz w:val="24"/>
          <w:szCs w:val="24"/>
        </w:rPr>
        <w:t>23:47:0118055:10929</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№10929 от 03.02.2022г.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№23:47:0118055:10929-23/261/2022-5                        от 12.03.2022г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lastRenderedPageBreak/>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77777777" w:rsidR="0012456C" w:rsidRDefault="0012456C" w:rsidP="0012456C">
      <w:pPr>
        <w:ind w:firstLine="567"/>
        <w:jc w:val="both"/>
        <w:rPr>
          <w:sz w:val="24"/>
          <w:szCs w:val="24"/>
        </w:rPr>
      </w:pPr>
      <w:r>
        <w:rPr>
          <w:sz w:val="24"/>
          <w:szCs w:val="24"/>
        </w:rPr>
        <w:t>Этажность - 17;</w:t>
      </w:r>
    </w:p>
    <w:p w14:paraId="30D42231" w14:textId="77777777" w:rsidR="0012456C" w:rsidRDefault="0012456C" w:rsidP="0012456C">
      <w:pPr>
        <w:ind w:firstLine="567"/>
        <w:jc w:val="both"/>
        <w:rPr>
          <w:sz w:val="24"/>
          <w:szCs w:val="24"/>
        </w:rPr>
      </w:pPr>
      <w:r>
        <w:rPr>
          <w:sz w:val="24"/>
          <w:szCs w:val="24"/>
        </w:rPr>
        <w:t xml:space="preserve">Общая площадь Дома – </w:t>
      </w:r>
      <w:r w:rsidRPr="00802E04">
        <w:rPr>
          <w:sz w:val="24"/>
          <w:szCs w:val="24"/>
        </w:rPr>
        <w:t>20 749,59</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w:t>
      </w:r>
      <w:r w:rsidRPr="00DF1E18">
        <w:rPr>
          <w:bCs/>
          <w:sz w:val="24"/>
          <w:szCs w:val="24"/>
        </w:rPr>
        <w:lastRenderedPageBreak/>
        <w:t xml:space="preserve">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25BC29C6" w14:textId="4ADB3E32" w:rsidR="00E04C03" w:rsidRPr="00577276" w:rsidRDefault="00FE76E7" w:rsidP="00E04C03">
      <w:pPr>
        <w:autoSpaceDE w:val="0"/>
        <w:autoSpaceDN w:val="0"/>
        <w:adjustRightInd w:val="0"/>
        <w:ind w:firstLine="567"/>
        <w:jc w:val="both"/>
        <w:outlineLvl w:val="0"/>
        <w:rPr>
          <w:bCs/>
          <w:sz w:val="24"/>
          <w:szCs w:val="24"/>
        </w:rPr>
      </w:pPr>
      <w:r w:rsidRPr="00577276">
        <w:rPr>
          <w:sz w:val="24"/>
          <w:szCs w:val="24"/>
        </w:rPr>
        <w:t xml:space="preserve">1.8. </w:t>
      </w:r>
      <w:r w:rsidR="00E04C03" w:rsidRPr="00577276">
        <w:rPr>
          <w:bCs/>
          <w:sz w:val="24"/>
          <w:szCs w:val="24"/>
        </w:rPr>
        <w:t xml:space="preserve">Участник долевого строительства уведомлен, что </w:t>
      </w:r>
      <w:r w:rsidR="00577276">
        <w:rPr>
          <w:bCs/>
          <w:sz w:val="24"/>
          <w:szCs w:val="24"/>
        </w:rPr>
        <w:t xml:space="preserve">имущественные права </w:t>
      </w:r>
      <w:r w:rsidR="00577276" w:rsidRPr="00577276">
        <w:rPr>
          <w:sz w:val="24"/>
          <w:szCs w:val="24"/>
        </w:rPr>
        <w:t>на строящийся Объект переданы в залог ПАО Сбербанк по Договорам залога имущественных прав №ДЗИП1_520B00IW6MF от 31.05.2023, №ДЗИП2_520B00IW6MF от 31.05.2023, №ДЗИП1_</w:t>
      </w:r>
      <w:r w:rsidR="00577276" w:rsidRPr="00577276">
        <w:rPr>
          <w:bCs/>
          <w:sz w:val="24"/>
          <w:szCs w:val="24"/>
        </w:rPr>
        <w:t xml:space="preserve">520B00JL3 от 27.07.2023, </w:t>
      </w:r>
      <w:r w:rsidR="00577276" w:rsidRPr="00577276">
        <w:rPr>
          <w:sz w:val="24"/>
          <w:szCs w:val="24"/>
        </w:rPr>
        <w:t>№ ДЗИП2_</w:t>
      </w:r>
      <w:r w:rsidR="00577276" w:rsidRPr="00577276">
        <w:rPr>
          <w:bCs/>
          <w:sz w:val="24"/>
          <w:szCs w:val="24"/>
        </w:rPr>
        <w:t>520B00JL3 от 27.07.2023</w:t>
      </w:r>
      <w:r w:rsidR="00577276" w:rsidRPr="00577276">
        <w:rPr>
          <w:sz w:val="24"/>
          <w:szCs w:val="24"/>
        </w:rPr>
        <w:t>, а права на Земельный участок, переданы в залог ПАО Сбербанк по Договор</w:t>
      </w:r>
      <w:r w:rsidR="00106060">
        <w:rPr>
          <w:sz w:val="24"/>
          <w:szCs w:val="24"/>
        </w:rPr>
        <w:t>ам</w:t>
      </w:r>
      <w:r w:rsidR="00577276" w:rsidRPr="00577276">
        <w:rPr>
          <w:sz w:val="24"/>
          <w:szCs w:val="24"/>
        </w:rPr>
        <w:t xml:space="preserve"> ипотеки №ДИ1_520B00IW6MF от 31.05.2023,</w:t>
      </w:r>
      <w:r w:rsidR="00106060" w:rsidRPr="00106060">
        <w:rPr>
          <w:sz w:val="24"/>
          <w:szCs w:val="24"/>
        </w:rPr>
        <w:t xml:space="preserve"> </w:t>
      </w:r>
      <w:r w:rsidR="00106060" w:rsidRPr="00577276">
        <w:rPr>
          <w:sz w:val="24"/>
          <w:szCs w:val="24"/>
        </w:rPr>
        <w:t>№ДИ1_520B00JL3 от 27.07.2023</w:t>
      </w:r>
      <w:r w:rsidR="00106060">
        <w:rPr>
          <w:sz w:val="24"/>
          <w:szCs w:val="24"/>
        </w:rPr>
        <w:t>,</w:t>
      </w:r>
      <w:r w:rsidR="00577276" w:rsidRPr="00577276">
        <w:rPr>
          <w:sz w:val="24"/>
          <w:szCs w:val="24"/>
        </w:rPr>
        <w:t xml:space="preserve"> заключенным в обеспечение возврата кредита по Договорам об открытии не возобновляемой кредитной линии №520B00IW6MF  от 31.05.2023, №520B00JL3 от 27.07.2023, предоставленного ПАО Сбербанк</w:t>
      </w:r>
      <w:r w:rsidR="00E04C03" w:rsidRPr="00577276">
        <w:rPr>
          <w:bCs/>
          <w:sz w:val="24"/>
          <w:szCs w:val="24"/>
        </w:rPr>
        <w:t xml:space="preserve">  Застройщику на строительство (создание) дома.</w:t>
      </w:r>
    </w:p>
    <w:p w14:paraId="3E9B557D" w14:textId="77777777" w:rsidR="00E04C03" w:rsidRPr="00E04C03" w:rsidRDefault="00E04C03" w:rsidP="00E04C03">
      <w:pPr>
        <w:autoSpaceDE w:val="0"/>
        <w:autoSpaceDN w:val="0"/>
        <w:adjustRightInd w:val="0"/>
        <w:ind w:firstLine="567"/>
        <w:jc w:val="both"/>
        <w:outlineLvl w:val="0"/>
        <w:rPr>
          <w:bCs/>
          <w:sz w:val="24"/>
          <w:szCs w:val="24"/>
        </w:rPr>
      </w:pPr>
      <w:r w:rsidRPr="00E04C03">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w:t>
      </w:r>
      <w:r w:rsidRPr="00E04C03">
        <w:rPr>
          <w:bCs/>
          <w:sz w:val="24"/>
          <w:szCs w:val="24"/>
        </w:rPr>
        <w:lastRenderedPageBreak/>
        <w:t xml:space="preserve">настоящему Договору, в связи с привлечением Застройщиком денежных средств Участника долевого строительства посредством счетов эскроу </w:t>
      </w:r>
      <w:r w:rsidRPr="00E04C03">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0A755C86" w14:textId="682B7DF7" w:rsidR="00FE76E7" w:rsidRPr="002B0EF2" w:rsidRDefault="00FE76E7" w:rsidP="00FE76E7">
      <w:pPr>
        <w:ind w:firstLine="567"/>
        <w:jc w:val="both"/>
        <w:rPr>
          <w:sz w:val="24"/>
          <w:szCs w:val="24"/>
        </w:rPr>
      </w:pP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w:t>
      </w:r>
      <w:r>
        <w:rPr>
          <w:rFonts w:eastAsia="Calibri"/>
        </w:rPr>
        <w:lastRenderedPageBreak/>
        <w:t xml:space="preserve">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1"/>
        <w:gridCol w:w="4278"/>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lastRenderedPageBreak/>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4824BA7"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t>0</w:t>
      </w:r>
      <w:r w:rsidR="00101D96" w:rsidRPr="00101D96">
        <w:t>» декабря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77777777" w:rsidR="009F1A51" w:rsidRPr="00F94A8A" w:rsidRDefault="009F1A51" w:rsidP="009F1A51">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30.06.2024г.  (</w:t>
      </w:r>
      <w:r w:rsidRPr="00F94A8A">
        <w:rPr>
          <w:b/>
          <w:lang w:val="en-US"/>
        </w:rPr>
        <w:t>II</w:t>
      </w:r>
      <w:r w:rsidRPr="00F94A8A">
        <w:rPr>
          <w:b/>
        </w:rPr>
        <w:t xml:space="preserve"> квартал 2024 года). </w:t>
      </w:r>
    </w:p>
    <w:p w14:paraId="6C17DF70" w14:textId="77777777" w:rsidR="009F1A51" w:rsidRDefault="009F1A51" w:rsidP="009F1A51">
      <w:pPr>
        <w:pStyle w:val="a3"/>
        <w:ind w:right="-42" w:firstLine="567"/>
      </w:pPr>
    </w:p>
    <w:p w14:paraId="3A04622A" w14:textId="7EE9D832" w:rsidR="009F1A51" w:rsidRPr="00F94A8A" w:rsidRDefault="009F1A51" w:rsidP="009F1A51">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не позднее 30.09.2024 г.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lastRenderedPageBreak/>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 xml:space="preserve">в установленный Договором срок, либо при поступлении в адрес Застройщика уведомления об отсутствии адресата по адресу, </w:t>
      </w:r>
      <w:r>
        <w:lastRenderedPageBreak/>
        <w:t>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lastRenderedPageBreak/>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lastRenderedPageBreak/>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 xml:space="preserve">В случае уклонения Участника долевого строительства от принятия Объекта в установленный пунктом 3.9. Договора срок или при отказе Участника долевого </w:t>
      </w:r>
      <w:r w:rsidR="00722B7B" w:rsidRPr="001B6571">
        <w:rPr>
          <w:sz w:val="24"/>
          <w:szCs w:val="24"/>
        </w:rPr>
        <w:lastRenderedPageBreak/>
        <w:t>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lastRenderedPageBreak/>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w:t>
      </w:r>
      <w:r>
        <w:rPr>
          <w:rFonts w:eastAsia="Calibri"/>
          <w:sz w:val="24"/>
          <w:szCs w:val="24"/>
        </w:rPr>
        <w:lastRenderedPageBreak/>
        <w:t xml:space="preserve">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г. Краснодар  ул.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77777777" w:rsidR="00254729" w:rsidRPr="00A46E3F" w:rsidRDefault="00254729" w:rsidP="00254729">
            <w:pPr>
              <w:pStyle w:val="af9"/>
              <w:rPr>
                <w:sz w:val="24"/>
                <w:szCs w:val="24"/>
              </w:rPr>
            </w:pPr>
            <w:r w:rsidRPr="00A46E3F">
              <w:rPr>
                <w:sz w:val="24"/>
                <w:szCs w:val="24"/>
              </w:rPr>
              <w:t xml:space="preserve">р/сч.: </w:t>
            </w:r>
            <w:r>
              <w:rPr>
                <w:sz w:val="24"/>
                <w:szCs w:val="24"/>
              </w:rPr>
              <w:t>40702810930000021450</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77777777" w:rsidR="00254729" w:rsidRDefault="00254729" w:rsidP="00254729">
            <w:pPr>
              <w:contextualSpacing/>
              <w:rPr>
                <w:sz w:val="24"/>
                <w:szCs w:val="24"/>
              </w:rPr>
            </w:pPr>
            <w:r w:rsidRPr="00857E67">
              <w:rPr>
                <w:sz w:val="24"/>
                <w:szCs w:val="24"/>
              </w:rPr>
              <w:t>___________________ Е.М. Тищенко</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41CC39B7" w14:textId="77777777" w:rsidR="00857E67" w:rsidRDefault="00857E67" w:rsidP="00857E67">
            <w:pPr>
              <w:contextualSpacing/>
              <w:jc w:val="right"/>
              <w:rPr>
                <w:sz w:val="24"/>
                <w:szCs w:val="24"/>
              </w:rPr>
            </w:pPr>
          </w:p>
          <w:p w14:paraId="1DC22361" w14:textId="77777777" w:rsidR="00857E67" w:rsidRDefault="00857E67" w:rsidP="00857E67">
            <w:pPr>
              <w:contextualSpacing/>
              <w:jc w:val="right"/>
              <w:rPr>
                <w:sz w:val="24"/>
                <w:szCs w:val="24"/>
              </w:rPr>
            </w:pPr>
          </w:p>
          <w:p w14:paraId="3919211B" w14:textId="77777777" w:rsidR="00857E67" w:rsidRDefault="00857E67" w:rsidP="00857E67">
            <w:pPr>
              <w:contextualSpacing/>
              <w:jc w:val="right"/>
              <w:rPr>
                <w:sz w:val="24"/>
                <w:szCs w:val="24"/>
              </w:rPr>
            </w:pPr>
          </w:p>
          <w:p w14:paraId="03CD119F" w14:textId="77777777" w:rsidR="00857E67" w:rsidRDefault="00857E67" w:rsidP="00857E67">
            <w:pPr>
              <w:contextualSpacing/>
              <w:jc w:val="right"/>
              <w:rPr>
                <w:sz w:val="24"/>
                <w:szCs w:val="24"/>
              </w:rPr>
            </w:pPr>
          </w:p>
          <w:p w14:paraId="4046651B" w14:textId="77777777" w:rsidR="00857E67" w:rsidRDefault="00857E67" w:rsidP="00857E67">
            <w:pPr>
              <w:contextualSpacing/>
              <w:jc w:val="right"/>
              <w:rPr>
                <w:sz w:val="24"/>
                <w:szCs w:val="24"/>
              </w:rPr>
            </w:pPr>
          </w:p>
          <w:p w14:paraId="423E17FF" w14:textId="77777777" w:rsidR="00857E67" w:rsidRDefault="00857E67" w:rsidP="00857E67">
            <w:pPr>
              <w:contextualSpacing/>
              <w:jc w:val="right"/>
              <w:rPr>
                <w:sz w:val="24"/>
                <w:szCs w:val="24"/>
              </w:rPr>
            </w:pPr>
          </w:p>
          <w:p w14:paraId="410CE9CB" w14:textId="77777777" w:rsidR="00857E67" w:rsidRDefault="00857E67" w:rsidP="00857E67">
            <w:pPr>
              <w:contextualSpacing/>
              <w:jc w:val="right"/>
              <w:rPr>
                <w:sz w:val="24"/>
                <w:szCs w:val="24"/>
              </w:rPr>
            </w:pPr>
          </w:p>
          <w:p w14:paraId="359FC3CB" w14:textId="77777777" w:rsidR="00857E67" w:rsidRDefault="00857E67" w:rsidP="00857E67">
            <w:pPr>
              <w:contextualSpacing/>
              <w:jc w:val="right"/>
              <w:rPr>
                <w:sz w:val="24"/>
                <w:szCs w:val="24"/>
              </w:rPr>
            </w:pPr>
          </w:p>
          <w:p w14:paraId="0AE2C8B1" w14:textId="77777777" w:rsidR="00DA7607" w:rsidRDefault="00DA7607" w:rsidP="00857E67">
            <w:pPr>
              <w:contextualSpacing/>
              <w:jc w:val="right"/>
              <w:rPr>
                <w:sz w:val="24"/>
                <w:szCs w:val="24"/>
              </w:rPr>
            </w:pPr>
          </w:p>
          <w:p w14:paraId="3939ECB7" w14:textId="77777777" w:rsidR="00DA7607" w:rsidRDefault="00DA7607" w:rsidP="00857E67">
            <w:pPr>
              <w:contextualSpacing/>
              <w:jc w:val="right"/>
              <w:rPr>
                <w:sz w:val="24"/>
                <w:szCs w:val="24"/>
              </w:rPr>
            </w:pPr>
          </w:p>
          <w:p w14:paraId="7E3B0E14" w14:textId="77777777" w:rsidR="00DA7607" w:rsidRDefault="00DA7607" w:rsidP="00857E67">
            <w:pPr>
              <w:contextualSpacing/>
              <w:jc w:val="right"/>
              <w:rPr>
                <w:sz w:val="24"/>
                <w:szCs w:val="24"/>
              </w:rPr>
            </w:pPr>
          </w:p>
          <w:p w14:paraId="3A982128" w14:textId="77777777" w:rsidR="00DA7607" w:rsidRDefault="00DA7607" w:rsidP="00857E67">
            <w:pPr>
              <w:contextualSpacing/>
              <w:jc w:val="right"/>
              <w:rPr>
                <w:sz w:val="24"/>
                <w:szCs w:val="24"/>
              </w:rPr>
            </w:pPr>
          </w:p>
          <w:p w14:paraId="793CDA2A" w14:textId="77777777" w:rsidR="00DA7607" w:rsidRDefault="00DA7607" w:rsidP="00857E67">
            <w:pPr>
              <w:contextualSpacing/>
              <w:jc w:val="right"/>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70542CCC" w14:textId="77777777" w:rsidR="002C6ACF" w:rsidRDefault="002C6ACF" w:rsidP="00306F50">
                  <w:pPr>
                    <w:ind w:right="389"/>
                    <w:contextualSpacing/>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7777777" w:rsidR="00C43E02" w:rsidRPr="00C43E02" w:rsidRDefault="00C43E02" w:rsidP="00C43E02">
                  <w:pPr>
                    <w:ind w:firstLine="567"/>
                    <w:jc w:val="both"/>
                    <w:rPr>
                      <w:sz w:val="24"/>
                      <w:szCs w:val="24"/>
                    </w:rPr>
                  </w:pPr>
                  <w:r w:rsidRPr="00C43E02">
                    <w:rPr>
                      <w:sz w:val="24"/>
                      <w:szCs w:val="24"/>
                    </w:rPr>
                    <w:t>Общая площадь Дома – 20 749,59 кв.м.;</w:t>
                  </w:r>
                </w:p>
                <w:p w14:paraId="775C62F0" w14:textId="77777777"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060"/>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276"/>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0D0B"/>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7438</Words>
  <Characters>42402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cp:revision>
  <cp:lastPrinted>2023-03-24T12:17:00Z</cp:lastPrinted>
  <dcterms:created xsi:type="dcterms:W3CDTF">2023-08-03T12:22:00Z</dcterms:created>
  <dcterms:modified xsi:type="dcterms:W3CDTF">2023-08-04T06:13:00Z</dcterms:modified>
</cp:coreProperties>
</file>